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94EB" w14:textId="77777777" w:rsidR="00A42768" w:rsidRPr="00235E86" w:rsidRDefault="00DD4F10" w:rsidP="00DD4F10">
      <w:pPr>
        <w:jc w:val="center"/>
        <w:rPr>
          <w:b/>
        </w:rPr>
      </w:pPr>
      <w:r w:rsidRPr="00235E86">
        <w:rPr>
          <w:b/>
        </w:rPr>
        <w:t>PHỤ LỤC PHÂN CÔNG BÁO CÁO THAM LUẬN</w:t>
      </w:r>
    </w:p>
    <w:p w14:paraId="6CBAB06B" w14:textId="77777777" w:rsidR="00A678A3" w:rsidRPr="00235E86" w:rsidRDefault="00235E86" w:rsidP="00A678A3">
      <w:pPr>
        <w:jc w:val="center"/>
        <w:rPr>
          <w:i/>
        </w:rPr>
      </w:pPr>
      <w:r w:rsidRPr="00B519C1">
        <w:rPr>
          <w:i/>
        </w:rPr>
        <w:t xml:space="preserve">(Kèm theo Kế hoạch số </w:t>
      </w:r>
      <w:r w:rsidR="00B519C1">
        <w:rPr>
          <w:i/>
        </w:rPr>
        <w:t xml:space="preserve">  </w:t>
      </w:r>
      <w:r w:rsidR="000448EE">
        <w:rPr>
          <w:i/>
        </w:rPr>
        <w:t xml:space="preserve">    </w:t>
      </w:r>
      <w:r w:rsidR="00B519C1">
        <w:rPr>
          <w:i/>
        </w:rPr>
        <w:t xml:space="preserve">  </w:t>
      </w:r>
      <w:r w:rsidRPr="00B519C1">
        <w:rPr>
          <w:i/>
        </w:rPr>
        <w:t xml:space="preserve">/KH-BCĐĐA06, ngày </w:t>
      </w:r>
      <w:r w:rsidR="00B519C1">
        <w:rPr>
          <w:i/>
        </w:rPr>
        <w:t xml:space="preserve">     </w:t>
      </w:r>
      <w:r w:rsidR="007F20E6" w:rsidRPr="00B519C1">
        <w:rPr>
          <w:i/>
        </w:rPr>
        <w:t xml:space="preserve"> </w:t>
      </w:r>
      <w:r w:rsidRPr="00B519C1">
        <w:rPr>
          <w:i/>
        </w:rPr>
        <w:t xml:space="preserve">tháng </w:t>
      </w:r>
      <w:r w:rsidR="00B519C1" w:rsidRPr="00B519C1">
        <w:rPr>
          <w:i/>
        </w:rPr>
        <w:t>02 năm 2024</w:t>
      </w:r>
      <w:r w:rsidR="00A678A3" w:rsidRPr="00B519C1">
        <w:rPr>
          <w:i/>
        </w:rPr>
        <w:t>)</w:t>
      </w:r>
    </w:p>
    <w:p w14:paraId="510EE9CA" w14:textId="77777777" w:rsidR="00235E86" w:rsidRPr="00A678A3" w:rsidRDefault="00B519C1" w:rsidP="00DD4F1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E92457" wp14:editId="7F23CCBB">
                <wp:simplePos x="0" y="0"/>
                <wp:positionH relativeFrom="column">
                  <wp:posOffset>1609090</wp:posOffset>
                </wp:positionH>
                <wp:positionV relativeFrom="paragraph">
                  <wp:posOffset>16881</wp:posOffset>
                </wp:positionV>
                <wp:extent cx="2493645" cy="8255"/>
                <wp:effectExtent l="0" t="0" r="2095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364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734A7" id="Straight Connector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pt,1.35pt" to="323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" strokecolor="black [3040]"/>
            </w:pict>
          </mc:Fallback>
        </mc:AlternateConten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746"/>
        <w:gridCol w:w="5917"/>
        <w:gridCol w:w="1842"/>
        <w:gridCol w:w="851"/>
      </w:tblGrid>
      <w:tr w:rsidR="00460D03" w14:paraId="5A30060C" w14:textId="77777777" w:rsidTr="0081650A">
        <w:tc>
          <w:tcPr>
            <w:tcW w:w="746" w:type="dxa"/>
            <w:vAlign w:val="center"/>
          </w:tcPr>
          <w:p w14:paraId="442BBA08" w14:textId="77777777" w:rsidR="00235E86" w:rsidRPr="002D37AC" w:rsidRDefault="00B519C1" w:rsidP="002D37AC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5917" w:type="dxa"/>
            <w:vAlign w:val="center"/>
          </w:tcPr>
          <w:p w14:paraId="5C8CA1F7" w14:textId="77777777" w:rsidR="00235E86" w:rsidRPr="002D37AC" w:rsidRDefault="00A678A3" w:rsidP="002D37AC">
            <w:pPr>
              <w:jc w:val="center"/>
              <w:rPr>
                <w:b/>
              </w:rPr>
            </w:pPr>
            <w:r w:rsidRPr="002D37AC">
              <w:rPr>
                <w:b/>
              </w:rPr>
              <w:t>Chủ đề tham luận</w:t>
            </w:r>
          </w:p>
        </w:tc>
        <w:tc>
          <w:tcPr>
            <w:tcW w:w="1842" w:type="dxa"/>
            <w:vAlign w:val="center"/>
          </w:tcPr>
          <w:p w14:paraId="1A2E7180" w14:textId="77777777" w:rsidR="00235E86" w:rsidRPr="002D37AC" w:rsidRDefault="00A678A3" w:rsidP="002D37AC">
            <w:pPr>
              <w:jc w:val="center"/>
              <w:rPr>
                <w:b/>
              </w:rPr>
            </w:pPr>
            <w:r w:rsidRPr="002D37AC">
              <w:rPr>
                <w:b/>
              </w:rPr>
              <w:t>Đơn vị thực hiện</w:t>
            </w:r>
          </w:p>
        </w:tc>
        <w:tc>
          <w:tcPr>
            <w:tcW w:w="851" w:type="dxa"/>
            <w:vAlign w:val="center"/>
          </w:tcPr>
          <w:p w14:paraId="02C4FD24" w14:textId="77777777" w:rsidR="00235E86" w:rsidRPr="002D37AC" w:rsidRDefault="00A678A3" w:rsidP="002D37AC">
            <w:pPr>
              <w:jc w:val="center"/>
              <w:rPr>
                <w:b/>
              </w:rPr>
            </w:pPr>
            <w:r w:rsidRPr="002D37AC">
              <w:rPr>
                <w:b/>
              </w:rPr>
              <w:t>Ghi chú</w:t>
            </w:r>
          </w:p>
        </w:tc>
      </w:tr>
      <w:tr w:rsidR="00D165E4" w14:paraId="25F18A1A" w14:textId="77777777" w:rsidTr="0081650A">
        <w:trPr>
          <w:trHeight w:val="1202"/>
        </w:trPr>
        <w:tc>
          <w:tcPr>
            <w:tcW w:w="746" w:type="dxa"/>
            <w:vAlign w:val="center"/>
          </w:tcPr>
          <w:p w14:paraId="7F64EE7F" w14:textId="77777777" w:rsidR="00D165E4" w:rsidRPr="00460D03" w:rsidRDefault="00D165E4" w:rsidP="00D165E4">
            <w:pPr>
              <w:jc w:val="center"/>
            </w:pPr>
            <w:r w:rsidRPr="00460D03">
              <w:t>3</w:t>
            </w:r>
          </w:p>
        </w:tc>
        <w:tc>
          <w:tcPr>
            <w:tcW w:w="5917" w:type="dxa"/>
            <w:vAlign w:val="center"/>
          </w:tcPr>
          <w:p w14:paraId="5E1E83CF" w14:textId="77777777" w:rsidR="00D165E4" w:rsidRPr="00460D03" w:rsidRDefault="00D165E4" w:rsidP="00D165E4">
            <w:pPr>
              <w:jc w:val="both"/>
            </w:pPr>
            <w:r>
              <w:t>Bài học kinh nghiệm trong việc thực hiện kế hoạch phối hợp liên ngành hướng dẫn công dân kích hoạt tài khoản định danh điện tử mức 2</w:t>
            </w:r>
          </w:p>
        </w:tc>
        <w:tc>
          <w:tcPr>
            <w:tcW w:w="1842" w:type="dxa"/>
            <w:vAlign w:val="center"/>
          </w:tcPr>
          <w:p w14:paraId="53B377D6" w14:textId="77777777" w:rsidR="00D165E4" w:rsidRPr="00460D03" w:rsidRDefault="00D165E4" w:rsidP="00D165E4">
            <w:pPr>
              <w:jc w:val="center"/>
            </w:pPr>
            <w:r w:rsidRPr="00460D03">
              <w:t>Phòng G</w:t>
            </w:r>
            <w:r>
              <w:t xml:space="preserve">iáo dục </w:t>
            </w:r>
            <w:r w:rsidRPr="00460D03">
              <w:t>&amp;</w:t>
            </w:r>
            <w:r>
              <w:t xml:space="preserve"> Đào tạo</w:t>
            </w:r>
          </w:p>
        </w:tc>
        <w:tc>
          <w:tcPr>
            <w:tcW w:w="851" w:type="dxa"/>
            <w:vAlign w:val="center"/>
          </w:tcPr>
          <w:p w14:paraId="27092C34" w14:textId="77777777" w:rsidR="00D165E4" w:rsidRPr="00460D03" w:rsidRDefault="00D165E4" w:rsidP="00D165E4">
            <w:pPr>
              <w:jc w:val="both"/>
            </w:pPr>
          </w:p>
        </w:tc>
      </w:tr>
      <w:tr w:rsidR="00D165E4" w14:paraId="4193E81F" w14:textId="77777777" w:rsidTr="0081650A">
        <w:trPr>
          <w:trHeight w:val="1202"/>
        </w:trPr>
        <w:tc>
          <w:tcPr>
            <w:tcW w:w="746" w:type="dxa"/>
            <w:vAlign w:val="center"/>
          </w:tcPr>
          <w:p w14:paraId="3E4BDEAA" w14:textId="77777777" w:rsidR="00D165E4" w:rsidRPr="00460D03" w:rsidRDefault="00D165E4" w:rsidP="00D165E4">
            <w:pPr>
              <w:jc w:val="center"/>
            </w:pPr>
            <w:r w:rsidRPr="00460D03">
              <w:t>1</w:t>
            </w:r>
          </w:p>
        </w:tc>
        <w:tc>
          <w:tcPr>
            <w:tcW w:w="5917" w:type="dxa"/>
            <w:vAlign w:val="center"/>
          </w:tcPr>
          <w:p w14:paraId="7FA9E3B7" w14:textId="77777777" w:rsidR="00D165E4" w:rsidRPr="00460D03" w:rsidRDefault="00D165E4" w:rsidP="00D165E4">
            <w:pPr>
              <w:jc w:val="both"/>
            </w:pPr>
            <w:r>
              <w:t>Khó khăn, vướng mắc và gi</w:t>
            </w:r>
            <w:r w:rsidRPr="00460D03">
              <w:t xml:space="preserve">ải pháp </w:t>
            </w:r>
            <w:r>
              <w:t xml:space="preserve">nâng cao hiệu quả </w:t>
            </w:r>
            <w:r w:rsidRPr="00460D03">
              <w:t>công tác chi trả chế độ chính sách không dùng tiền mặt cho các đối tượng an sinh xã hội</w:t>
            </w:r>
          </w:p>
        </w:tc>
        <w:tc>
          <w:tcPr>
            <w:tcW w:w="1842" w:type="dxa"/>
            <w:vAlign w:val="center"/>
          </w:tcPr>
          <w:p w14:paraId="3391DA05" w14:textId="77777777" w:rsidR="00D165E4" w:rsidRPr="00460D03" w:rsidRDefault="00D165E4" w:rsidP="00D165E4">
            <w:pPr>
              <w:jc w:val="center"/>
            </w:pPr>
            <w:r w:rsidRPr="00460D03">
              <w:t>Phòng Lao động – Thương binh &amp; Xã hội</w:t>
            </w:r>
          </w:p>
        </w:tc>
        <w:tc>
          <w:tcPr>
            <w:tcW w:w="851" w:type="dxa"/>
            <w:vAlign w:val="center"/>
          </w:tcPr>
          <w:p w14:paraId="7D65B313" w14:textId="77777777" w:rsidR="00D165E4" w:rsidRPr="00460D03" w:rsidRDefault="00D165E4" w:rsidP="00D165E4">
            <w:pPr>
              <w:jc w:val="both"/>
            </w:pPr>
          </w:p>
        </w:tc>
      </w:tr>
      <w:tr w:rsidR="00D165E4" w14:paraId="292FE7BB" w14:textId="77777777" w:rsidTr="0081650A">
        <w:trPr>
          <w:trHeight w:val="1119"/>
        </w:trPr>
        <w:tc>
          <w:tcPr>
            <w:tcW w:w="746" w:type="dxa"/>
            <w:vAlign w:val="center"/>
          </w:tcPr>
          <w:p w14:paraId="623CCFCA" w14:textId="77777777" w:rsidR="00D165E4" w:rsidRPr="00460D03" w:rsidRDefault="00D165E4" w:rsidP="00D165E4">
            <w:pPr>
              <w:jc w:val="center"/>
            </w:pPr>
            <w:r w:rsidRPr="00460D03">
              <w:t>2</w:t>
            </w:r>
          </w:p>
        </w:tc>
        <w:tc>
          <w:tcPr>
            <w:tcW w:w="5917" w:type="dxa"/>
            <w:vAlign w:val="center"/>
          </w:tcPr>
          <w:p w14:paraId="51FC731D" w14:textId="77777777" w:rsidR="00D165E4" w:rsidRPr="00460D03" w:rsidRDefault="00D165E4" w:rsidP="00D165E4">
            <w:pPr>
              <w:jc w:val="both"/>
            </w:pPr>
            <w:r>
              <w:t>Khó khăn, vướng mắc và gi</w:t>
            </w:r>
            <w:r w:rsidRPr="00460D03">
              <w:t>ải pháp đẩy nhanh tiến độ làm sạch dữ liệu hộ tị</w:t>
            </w:r>
            <w:r>
              <w:t>ch</w:t>
            </w:r>
          </w:p>
        </w:tc>
        <w:tc>
          <w:tcPr>
            <w:tcW w:w="1842" w:type="dxa"/>
            <w:vAlign w:val="center"/>
          </w:tcPr>
          <w:p w14:paraId="5CD90D9A" w14:textId="77777777" w:rsidR="00D165E4" w:rsidRPr="00460D03" w:rsidRDefault="00D165E4" w:rsidP="00D165E4">
            <w:pPr>
              <w:jc w:val="center"/>
            </w:pPr>
            <w:r w:rsidRPr="00460D03">
              <w:t>Phòng Tư pháp</w:t>
            </w:r>
          </w:p>
        </w:tc>
        <w:tc>
          <w:tcPr>
            <w:tcW w:w="851" w:type="dxa"/>
            <w:vAlign w:val="center"/>
          </w:tcPr>
          <w:p w14:paraId="0DEBC6A2" w14:textId="77777777" w:rsidR="00D165E4" w:rsidRPr="00460D03" w:rsidRDefault="00D165E4" w:rsidP="00D165E4">
            <w:pPr>
              <w:jc w:val="both"/>
            </w:pPr>
          </w:p>
        </w:tc>
      </w:tr>
      <w:tr w:rsidR="00D165E4" w14:paraId="2739A385" w14:textId="77777777" w:rsidTr="0081650A">
        <w:trPr>
          <w:trHeight w:val="827"/>
        </w:trPr>
        <w:tc>
          <w:tcPr>
            <w:tcW w:w="746" w:type="dxa"/>
            <w:vAlign w:val="center"/>
          </w:tcPr>
          <w:p w14:paraId="2DD9B139" w14:textId="77777777" w:rsidR="00D165E4" w:rsidRPr="00460D03" w:rsidRDefault="00D165E4" w:rsidP="00D165E4">
            <w:pPr>
              <w:jc w:val="center"/>
            </w:pPr>
            <w:r w:rsidRPr="00460D03">
              <w:t>4</w:t>
            </w:r>
          </w:p>
        </w:tc>
        <w:tc>
          <w:tcPr>
            <w:tcW w:w="5917" w:type="dxa"/>
            <w:vAlign w:val="center"/>
          </w:tcPr>
          <w:p w14:paraId="1370ABB4" w14:textId="77777777" w:rsidR="00D165E4" w:rsidRPr="00460D03" w:rsidRDefault="00D165E4" w:rsidP="00D165E4">
            <w:pPr>
              <w:jc w:val="both"/>
            </w:pPr>
            <w:r>
              <w:t>Khó khăn, vướng mắc và gi</w:t>
            </w:r>
            <w:r w:rsidRPr="00460D03">
              <w:t xml:space="preserve">ải pháp nâng cao </w:t>
            </w:r>
            <w:r>
              <w:t>hiệu quả</w:t>
            </w:r>
            <w:r w:rsidRPr="00460D03">
              <w:t xml:space="preserve"> công tác chi trả viện phí không dùng tiền mặt</w:t>
            </w:r>
          </w:p>
        </w:tc>
        <w:tc>
          <w:tcPr>
            <w:tcW w:w="1842" w:type="dxa"/>
            <w:vAlign w:val="center"/>
          </w:tcPr>
          <w:p w14:paraId="6477E39E" w14:textId="77777777" w:rsidR="00D165E4" w:rsidRPr="00460D03" w:rsidRDefault="00D165E4" w:rsidP="00D165E4">
            <w:pPr>
              <w:jc w:val="center"/>
            </w:pPr>
            <w:r w:rsidRPr="00460D03">
              <w:t>Trung tâm Y tế</w:t>
            </w:r>
          </w:p>
        </w:tc>
        <w:tc>
          <w:tcPr>
            <w:tcW w:w="851" w:type="dxa"/>
            <w:vAlign w:val="center"/>
          </w:tcPr>
          <w:p w14:paraId="66640C52" w14:textId="77777777" w:rsidR="00D165E4" w:rsidRPr="00460D03" w:rsidRDefault="00D165E4" w:rsidP="00D165E4">
            <w:pPr>
              <w:jc w:val="both"/>
            </w:pPr>
          </w:p>
        </w:tc>
      </w:tr>
      <w:tr w:rsidR="00D165E4" w14:paraId="1EA198B2" w14:textId="77777777" w:rsidTr="0081650A">
        <w:trPr>
          <w:trHeight w:val="1136"/>
        </w:trPr>
        <w:tc>
          <w:tcPr>
            <w:tcW w:w="746" w:type="dxa"/>
            <w:vAlign w:val="center"/>
          </w:tcPr>
          <w:p w14:paraId="6942F736" w14:textId="77777777" w:rsidR="00D165E4" w:rsidRPr="00460D03" w:rsidRDefault="00F70508" w:rsidP="00D165E4">
            <w:pPr>
              <w:jc w:val="center"/>
            </w:pPr>
            <w:r>
              <w:t>5</w:t>
            </w:r>
          </w:p>
        </w:tc>
        <w:tc>
          <w:tcPr>
            <w:tcW w:w="5917" w:type="dxa"/>
            <w:vAlign w:val="center"/>
          </w:tcPr>
          <w:p w14:paraId="4912C0E9" w14:textId="77777777" w:rsidR="00D165E4" w:rsidRPr="00460D03" w:rsidRDefault="00F70508" w:rsidP="00F70508">
            <w:pPr>
              <w:jc w:val="both"/>
            </w:pPr>
            <w:r>
              <w:t xml:space="preserve">Bài học kinh nghiệm </w:t>
            </w:r>
            <w:r w:rsidRPr="00460D03">
              <w:t xml:space="preserve">trong </w:t>
            </w:r>
            <w:r>
              <w:t>lãnh đạo, chỉ đạo</w:t>
            </w:r>
            <w:r w:rsidRPr="00460D03">
              <w:t xml:space="preserve"> các lực lượng thực hiện</w:t>
            </w:r>
            <w:r>
              <w:t xml:space="preserve"> các nhiệm vụ của</w:t>
            </w:r>
            <w:r w:rsidRPr="00460D03">
              <w:t xml:space="preserve"> Đề án 06</w:t>
            </w:r>
          </w:p>
        </w:tc>
        <w:tc>
          <w:tcPr>
            <w:tcW w:w="1842" w:type="dxa"/>
            <w:vAlign w:val="center"/>
          </w:tcPr>
          <w:p w14:paraId="6F7F92DE" w14:textId="77777777" w:rsidR="00F70508" w:rsidRPr="00460D03" w:rsidRDefault="00F70508" w:rsidP="00F70508">
            <w:pPr>
              <w:jc w:val="center"/>
            </w:pPr>
            <w:r w:rsidRPr="00460D03">
              <w:t>UBND xã</w:t>
            </w:r>
          </w:p>
          <w:p w14:paraId="0C3241E4" w14:textId="77777777" w:rsidR="00D165E4" w:rsidRPr="00460D03" w:rsidRDefault="00F70508" w:rsidP="00F70508">
            <w:pPr>
              <w:jc w:val="center"/>
            </w:pPr>
            <w:r>
              <w:t>Pú Nhung</w:t>
            </w:r>
          </w:p>
        </w:tc>
        <w:tc>
          <w:tcPr>
            <w:tcW w:w="851" w:type="dxa"/>
            <w:vAlign w:val="center"/>
          </w:tcPr>
          <w:p w14:paraId="7F168963" w14:textId="77777777" w:rsidR="00D165E4" w:rsidRPr="00460D03" w:rsidRDefault="00D165E4" w:rsidP="00D165E4">
            <w:pPr>
              <w:jc w:val="both"/>
            </w:pPr>
          </w:p>
        </w:tc>
      </w:tr>
      <w:tr w:rsidR="00D165E4" w14:paraId="0C24E02A" w14:textId="77777777" w:rsidTr="0081650A">
        <w:trPr>
          <w:trHeight w:val="1136"/>
        </w:trPr>
        <w:tc>
          <w:tcPr>
            <w:tcW w:w="746" w:type="dxa"/>
            <w:vAlign w:val="center"/>
          </w:tcPr>
          <w:p w14:paraId="386BB6B6" w14:textId="77777777" w:rsidR="00D165E4" w:rsidRPr="00460D03" w:rsidRDefault="00F70508" w:rsidP="00D165E4">
            <w:pPr>
              <w:jc w:val="center"/>
            </w:pPr>
            <w:r>
              <w:t>6</w:t>
            </w:r>
          </w:p>
        </w:tc>
        <w:tc>
          <w:tcPr>
            <w:tcW w:w="5917" w:type="dxa"/>
            <w:vAlign w:val="center"/>
          </w:tcPr>
          <w:p w14:paraId="174D39FD" w14:textId="77777777" w:rsidR="00D165E4" w:rsidRPr="00460D03" w:rsidRDefault="00F70508" w:rsidP="00D165E4">
            <w:pPr>
              <w:jc w:val="both"/>
            </w:pPr>
            <w:r>
              <w:t>Bài học kinh nghiệm trong công tác vận động, hướng dẫn công dân thu nhận, kích hoạt tài khoản định danh điện tử mức 2</w:t>
            </w:r>
          </w:p>
        </w:tc>
        <w:tc>
          <w:tcPr>
            <w:tcW w:w="1842" w:type="dxa"/>
            <w:vAlign w:val="center"/>
          </w:tcPr>
          <w:p w14:paraId="08B65889" w14:textId="77777777" w:rsidR="00D165E4" w:rsidRPr="00460D03" w:rsidRDefault="00D165E4" w:rsidP="00D165E4">
            <w:pPr>
              <w:jc w:val="center"/>
            </w:pPr>
            <w:r w:rsidRPr="00460D03">
              <w:t>UBND xã</w:t>
            </w:r>
          </w:p>
          <w:p w14:paraId="566F2708" w14:textId="77777777" w:rsidR="00D165E4" w:rsidRPr="00460D03" w:rsidRDefault="00F70508" w:rsidP="00D165E4">
            <w:pPr>
              <w:jc w:val="center"/>
            </w:pPr>
            <w:r>
              <w:t xml:space="preserve">Rạng Đông </w:t>
            </w:r>
          </w:p>
        </w:tc>
        <w:tc>
          <w:tcPr>
            <w:tcW w:w="851" w:type="dxa"/>
            <w:vAlign w:val="center"/>
          </w:tcPr>
          <w:p w14:paraId="01393EA5" w14:textId="77777777" w:rsidR="00D165E4" w:rsidRPr="00460D03" w:rsidRDefault="00D165E4" w:rsidP="00D165E4">
            <w:pPr>
              <w:jc w:val="both"/>
            </w:pPr>
          </w:p>
        </w:tc>
      </w:tr>
      <w:tr w:rsidR="00D165E4" w14:paraId="470F213E" w14:textId="77777777" w:rsidTr="0081650A">
        <w:trPr>
          <w:trHeight w:val="1849"/>
        </w:trPr>
        <w:tc>
          <w:tcPr>
            <w:tcW w:w="746" w:type="dxa"/>
            <w:vAlign w:val="center"/>
          </w:tcPr>
          <w:p w14:paraId="7DB862C7" w14:textId="77777777" w:rsidR="00D165E4" w:rsidRPr="00460D03" w:rsidRDefault="00D165E4" w:rsidP="00D165E4">
            <w:pPr>
              <w:jc w:val="center"/>
            </w:pPr>
            <w:r w:rsidRPr="00460D03">
              <w:t>7</w:t>
            </w:r>
          </w:p>
        </w:tc>
        <w:tc>
          <w:tcPr>
            <w:tcW w:w="5917" w:type="dxa"/>
            <w:vAlign w:val="center"/>
          </w:tcPr>
          <w:p w14:paraId="25B2687D" w14:textId="77777777" w:rsidR="00D165E4" w:rsidRPr="00460D03" w:rsidRDefault="00F70508" w:rsidP="00D165E4">
            <w:pPr>
              <w:jc w:val="both"/>
            </w:pPr>
            <w:r>
              <w:t>Khó khăn, vướng mắc và gi</w:t>
            </w:r>
            <w:r w:rsidRPr="00460D03">
              <w:t xml:space="preserve">ải pháp </w:t>
            </w:r>
            <w:r w:rsidR="00D165E4">
              <w:t>nâng cao hiệu quả công tác</w:t>
            </w:r>
            <w:r w:rsidR="00D165E4" w:rsidRPr="00460D03">
              <w:t xml:space="preserve"> tuyên truyền, vận động, hướng dẫn</w:t>
            </w:r>
            <w:r w:rsidR="00D165E4">
              <w:t xml:space="preserve"> </w:t>
            </w:r>
            <w:r w:rsidR="00D165E4" w:rsidRPr="00460D03">
              <w:t>công dân</w:t>
            </w:r>
            <w:r w:rsidR="00D165E4">
              <w:t xml:space="preserve"> vắng mặt khỏi địa bàn, đi làm ăn xa, thực hiện</w:t>
            </w:r>
            <w:r w:rsidR="00D165E4" w:rsidRPr="00460D03">
              <w:t xml:space="preserve"> thu nhận hồ sơ căn cước công dân, định danh điện tử</w:t>
            </w:r>
            <w:r w:rsidR="00D165E4">
              <w:t xml:space="preserve"> tại nơi công dân hiện đang cư trú</w:t>
            </w:r>
          </w:p>
        </w:tc>
        <w:tc>
          <w:tcPr>
            <w:tcW w:w="1842" w:type="dxa"/>
            <w:vAlign w:val="center"/>
          </w:tcPr>
          <w:p w14:paraId="485F4CC4" w14:textId="77777777" w:rsidR="00D165E4" w:rsidRPr="00460D03" w:rsidRDefault="00D165E4" w:rsidP="00D165E4">
            <w:pPr>
              <w:jc w:val="center"/>
            </w:pPr>
            <w:r w:rsidRPr="00460D03">
              <w:t>UBND xã</w:t>
            </w:r>
          </w:p>
          <w:p w14:paraId="0B10CE61" w14:textId="77777777" w:rsidR="00D165E4" w:rsidRPr="00460D03" w:rsidRDefault="00D165E4" w:rsidP="00D165E4">
            <w:pPr>
              <w:jc w:val="center"/>
            </w:pPr>
            <w:r w:rsidRPr="00460D03">
              <w:t>Chiềng Đông</w:t>
            </w:r>
          </w:p>
        </w:tc>
        <w:tc>
          <w:tcPr>
            <w:tcW w:w="851" w:type="dxa"/>
            <w:vAlign w:val="center"/>
          </w:tcPr>
          <w:p w14:paraId="1ECA042E" w14:textId="77777777" w:rsidR="00D165E4" w:rsidRPr="00460D03" w:rsidRDefault="00D165E4" w:rsidP="00D165E4">
            <w:pPr>
              <w:jc w:val="both"/>
            </w:pPr>
          </w:p>
        </w:tc>
      </w:tr>
    </w:tbl>
    <w:p w14:paraId="2A7B1AC5" w14:textId="77777777" w:rsidR="001B3A71" w:rsidRDefault="00A706EC" w:rsidP="0046658D">
      <w:pPr>
        <w:spacing w:before="120" w:after="120"/>
        <w:ind w:firstLine="720"/>
        <w:jc w:val="both"/>
        <w:rPr>
          <w:i/>
        </w:rPr>
      </w:pPr>
      <w:r w:rsidRPr="00460D03">
        <w:rPr>
          <w:b/>
          <w:i/>
          <w:u w:val="single"/>
        </w:rPr>
        <w:t>Lưu ý</w:t>
      </w:r>
      <w:r w:rsidRPr="00460D03">
        <w:rPr>
          <w:i/>
          <w:u w:val="single"/>
        </w:rPr>
        <w:t>:</w:t>
      </w:r>
      <w:r>
        <w:rPr>
          <w:i/>
        </w:rPr>
        <w:t xml:space="preserve"> </w:t>
      </w:r>
    </w:p>
    <w:p w14:paraId="4FBEC9D6" w14:textId="77777777" w:rsidR="001B3A71" w:rsidRPr="001B3A71" w:rsidRDefault="001B3A71" w:rsidP="0046658D">
      <w:pPr>
        <w:spacing w:before="120" w:after="120"/>
        <w:ind w:firstLine="720"/>
        <w:jc w:val="both"/>
      </w:pPr>
      <w:r w:rsidRPr="001B3A71">
        <w:t>- Nội dung tham luận</w:t>
      </w:r>
      <w:r>
        <w:t xml:space="preserve"> không báo cáo</w:t>
      </w:r>
      <w:r w:rsidRPr="001B3A71">
        <w:t xml:space="preserve"> kết quả đã đạt được, tập trung trình bày </w:t>
      </w:r>
      <w:r>
        <w:t xml:space="preserve">những </w:t>
      </w:r>
      <w:r w:rsidRPr="001B3A71">
        <w:t>bài học kinh nghiệm rút ra trong quá trình</w:t>
      </w:r>
      <w:r>
        <w:t xml:space="preserve"> tổ chức</w:t>
      </w:r>
      <w:r w:rsidRPr="001B3A71">
        <w:t xml:space="preserve"> thực hiện</w:t>
      </w:r>
      <w:r w:rsidR="006E24AE">
        <w:t xml:space="preserve"> (đối với đơn vị làm tốt)</w:t>
      </w:r>
      <w:r w:rsidRPr="001B3A71">
        <w:t xml:space="preserve"> hoặc những tồn tại, hạn chế, khó khăn, vướng mắc và giải pháp khắc phục trong thời gian tới</w:t>
      </w:r>
      <w:r w:rsidR="0081650A">
        <w:t xml:space="preserve"> (đối với đơn vị đạt kết quả chưa cao)</w:t>
      </w:r>
      <w:r w:rsidRPr="001B3A71">
        <w:t>.</w:t>
      </w:r>
    </w:p>
    <w:p w14:paraId="65520183" w14:textId="7C56438E" w:rsidR="00A706EC" w:rsidRPr="003C2AFD" w:rsidRDefault="001B3A71" w:rsidP="0046658D">
      <w:pPr>
        <w:spacing w:before="120" w:after="120"/>
        <w:ind w:firstLine="720"/>
        <w:jc w:val="both"/>
        <w:rPr>
          <w:i/>
        </w:rPr>
      </w:pPr>
      <w:r w:rsidRPr="005D5951">
        <w:t xml:space="preserve">- </w:t>
      </w:r>
      <w:r w:rsidR="00A706EC" w:rsidRPr="005D5951">
        <w:t xml:space="preserve">Căn cứ chức năng, nhiệm vụ được phân công và tình hình thực tế triển khai thực hiện Đề án 06 trên </w:t>
      </w:r>
      <w:r w:rsidR="000246BB" w:rsidRPr="005D5951">
        <w:t>lĩnh vự</w:t>
      </w:r>
      <w:r w:rsidR="003C2AFD">
        <w:t>c chuyên môn</w:t>
      </w:r>
      <w:r w:rsidR="000246BB" w:rsidRPr="005D5951">
        <w:t xml:space="preserve">, các đơn vị </w:t>
      </w:r>
      <w:r w:rsidR="003C2AFD">
        <w:t>còn lại</w:t>
      </w:r>
      <w:r w:rsidR="000246BB" w:rsidRPr="005D5951">
        <w:t xml:space="preserve"> gửi báo cáo tham luận về Ban Chỉ đạo Đề án 06 huyện </w:t>
      </w:r>
      <w:r w:rsidR="000246BB" w:rsidRPr="003C2AFD">
        <w:rPr>
          <w:i/>
        </w:rPr>
        <w:t xml:space="preserve">(qua </w:t>
      </w:r>
      <w:r w:rsidR="00DB4271" w:rsidRPr="003C2AFD">
        <w:rPr>
          <w:i/>
        </w:rPr>
        <w:t>Công an huyện</w:t>
      </w:r>
      <w:r w:rsidR="00DB4271" w:rsidRPr="003C2AFD">
        <w:rPr>
          <w:i/>
        </w:rPr>
        <w:t xml:space="preserve"> </w:t>
      </w:r>
      <w:r w:rsidR="00DB4271">
        <w:rPr>
          <w:i/>
        </w:rPr>
        <w:t xml:space="preserve">- </w:t>
      </w:r>
      <w:r w:rsidR="00460D03" w:rsidRPr="003C2AFD">
        <w:rPr>
          <w:i/>
        </w:rPr>
        <w:t>Đội Cảnh sát QLHC về TTXH</w:t>
      </w:r>
      <w:r w:rsidR="000246BB" w:rsidRPr="003C2AFD">
        <w:rPr>
          <w:i/>
        </w:rPr>
        <w:t>).</w:t>
      </w:r>
    </w:p>
    <w:p w14:paraId="1610F893" w14:textId="77777777" w:rsidR="001B3A71" w:rsidRDefault="001B3A71" w:rsidP="0046658D">
      <w:pPr>
        <w:spacing w:before="120" w:after="120"/>
        <w:ind w:firstLine="720"/>
        <w:jc w:val="both"/>
        <w:rPr>
          <w:i/>
        </w:rPr>
      </w:pPr>
    </w:p>
    <w:p w14:paraId="241CEE27" w14:textId="77777777" w:rsidR="00047717" w:rsidRPr="00235E86" w:rsidRDefault="00047717" w:rsidP="0046658D">
      <w:pPr>
        <w:spacing w:before="120" w:after="120"/>
        <w:ind w:firstLine="720"/>
        <w:jc w:val="both"/>
        <w:rPr>
          <w:i/>
        </w:rPr>
      </w:pPr>
    </w:p>
    <w:sectPr w:rsidR="00047717" w:rsidRPr="00235E86" w:rsidSect="0036442B">
      <w:pgSz w:w="11907" w:h="16840" w:code="9"/>
      <w:pgMar w:top="1134" w:right="907" w:bottom="1134" w:left="192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BBA"/>
    <w:rsid w:val="00004B5A"/>
    <w:rsid w:val="000246BB"/>
    <w:rsid w:val="000448EE"/>
    <w:rsid w:val="00047717"/>
    <w:rsid w:val="000814A7"/>
    <w:rsid w:val="00095C23"/>
    <w:rsid w:val="000B57BA"/>
    <w:rsid w:val="001B3A71"/>
    <w:rsid w:val="001C00CF"/>
    <w:rsid w:val="00235E86"/>
    <w:rsid w:val="00282A07"/>
    <w:rsid w:val="00294E9B"/>
    <w:rsid w:val="002A070A"/>
    <w:rsid w:val="002B503E"/>
    <w:rsid w:val="002D37AC"/>
    <w:rsid w:val="00300A3F"/>
    <w:rsid w:val="00323A23"/>
    <w:rsid w:val="003435F3"/>
    <w:rsid w:val="0034542B"/>
    <w:rsid w:val="0036442B"/>
    <w:rsid w:val="00373F61"/>
    <w:rsid w:val="003862CB"/>
    <w:rsid w:val="003C2AFD"/>
    <w:rsid w:val="003D51A8"/>
    <w:rsid w:val="003E15EC"/>
    <w:rsid w:val="004347D7"/>
    <w:rsid w:val="00460D03"/>
    <w:rsid w:val="0046658D"/>
    <w:rsid w:val="004B184F"/>
    <w:rsid w:val="004B36EF"/>
    <w:rsid w:val="00531B3B"/>
    <w:rsid w:val="00595193"/>
    <w:rsid w:val="005D5951"/>
    <w:rsid w:val="005E34C5"/>
    <w:rsid w:val="00615EC8"/>
    <w:rsid w:val="006218EC"/>
    <w:rsid w:val="00627379"/>
    <w:rsid w:val="006816C8"/>
    <w:rsid w:val="00682F20"/>
    <w:rsid w:val="006C5B8F"/>
    <w:rsid w:val="006E24AE"/>
    <w:rsid w:val="006F61C0"/>
    <w:rsid w:val="00723353"/>
    <w:rsid w:val="007425A2"/>
    <w:rsid w:val="007B70B8"/>
    <w:rsid w:val="007F20E6"/>
    <w:rsid w:val="0080151D"/>
    <w:rsid w:val="0081650A"/>
    <w:rsid w:val="00817814"/>
    <w:rsid w:val="00822225"/>
    <w:rsid w:val="008412E3"/>
    <w:rsid w:val="00845CE9"/>
    <w:rsid w:val="00893148"/>
    <w:rsid w:val="00943B3F"/>
    <w:rsid w:val="009F64C0"/>
    <w:rsid w:val="00A255C3"/>
    <w:rsid w:val="00A42768"/>
    <w:rsid w:val="00A678A3"/>
    <w:rsid w:val="00A706EC"/>
    <w:rsid w:val="00A85525"/>
    <w:rsid w:val="00A87AE6"/>
    <w:rsid w:val="00A91421"/>
    <w:rsid w:val="00AA738D"/>
    <w:rsid w:val="00B509A7"/>
    <w:rsid w:val="00B519C1"/>
    <w:rsid w:val="00B76386"/>
    <w:rsid w:val="00B80BBA"/>
    <w:rsid w:val="00BD6CEF"/>
    <w:rsid w:val="00BF1649"/>
    <w:rsid w:val="00C26CA7"/>
    <w:rsid w:val="00C332CD"/>
    <w:rsid w:val="00C51442"/>
    <w:rsid w:val="00D165E4"/>
    <w:rsid w:val="00DB09CA"/>
    <w:rsid w:val="00DB4271"/>
    <w:rsid w:val="00DD4F10"/>
    <w:rsid w:val="00DE028D"/>
    <w:rsid w:val="00E63E42"/>
    <w:rsid w:val="00E66AE6"/>
    <w:rsid w:val="00EE47F7"/>
    <w:rsid w:val="00EE7E5B"/>
    <w:rsid w:val="00F21CB8"/>
    <w:rsid w:val="00F428E1"/>
    <w:rsid w:val="00F7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3D8D40"/>
  <w15:docId w15:val="{16E21B03-CC7D-432A-A57F-9942A885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color w:val="000000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Nguyễn Văn Bách</cp:lastModifiedBy>
  <cp:revision>49</cp:revision>
  <cp:lastPrinted>2024-02-21T02:43:00Z</cp:lastPrinted>
  <dcterms:created xsi:type="dcterms:W3CDTF">2023-02-19T08:56:00Z</dcterms:created>
  <dcterms:modified xsi:type="dcterms:W3CDTF">2024-03-06T00:35:00Z</dcterms:modified>
</cp:coreProperties>
</file>