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2.001914.000.00.00.H18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1172/QĐ-UBND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Chỉnh sửa nội dung văn bằng, chứng chỉ</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Văn bằng, chứng chỉ</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đề nghị chỉnh sửa văn bằng, chứng chỉ nộp 01 (một) bộ hồ sơ theo quy định cho Bộ phận tiếp nhận và trả kết quả thuộc Văn phòng Sở Giáo dục và Đào tạo (Địa chỉ: Số 867   tổ 15, phường Mường Thanh, thành phố Điện Biên Phủ)</w:t>
      </w:r>
    </w:p>
    <w:p>
      <w:pPr>
        <w:spacing w:after="0" w:before="0" w:lineRule="auto" w:line="276"/>
        <w:jc w:val="both"/>
      </w:pPr>
      <w:r>
        <w:rPr>
          <w:rFonts w:ascii="Times New Roman" w:hAnsi="Times New Roman" w:cs="Times New Roman" w:eastAsia="Times New Roman"/>
          <w:b w:val="false"/>
          <w:sz w:val="26"/>
        </w:rPr>
        <w:t>Trong thời hạn 05 ngày làm việc kể từ ngày nhận hồ sơ, cơ quan có thẩm quyền chỉnh sửa nội dung văn bằng, chứng chỉ xem xét quyết định việc chỉnh sửa; nếu không chỉnh sửa thì phải trả lời bằng văn bản và nêu rõ lý do;</w:t>
      </w:r>
    </w:p>
    <w:p>
      <w:pPr>
        <w:spacing w:after="0" w:before="0" w:lineRule="auto" w:line="276"/>
        <w:jc w:val="both"/>
      </w:pPr>
      <w:r>
        <w:rPr>
          <w:rFonts w:ascii="Times New Roman" w:hAnsi="Times New Roman" w:cs="Times New Roman" w:eastAsia="Times New Roman"/>
          <w:b w:val="false"/>
          <w:sz w:val="26"/>
        </w:rPr>
        <w:t>Việc chỉnh sửa nội dung văn bằng, chứng chỉ được thực hiện bằng quyết định chỉnh sửa; không chỉnh sửa trực tiếp trên văn bằng, chứng chỉ;</w:t>
      </w:r>
    </w:p>
    <w:p>
      <w:pPr>
        <w:spacing w:after="0" w:before="0" w:lineRule="auto" w:line="276"/>
        <w:jc w:val="both"/>
      </w:pPr>
      <w:r>
        <w:rPr>
          <w:rFonts w:ascii="Times New Roman" w:hAnsi="Times New Roman" w:cs="Times New Roman" w:eastAsia="Times New Roman"/>
          <w:b w:val="false"/>
          <w:sz w:val="26"/>
        </w:rPr>
        <w:t>Căn cứ quyết định chỉnh sửa, cơ quan có thẩm quyền chỉnh sửa nội dung văn bằng, chứng chỉ tiến hành chỉnh sửa các nội dung tương ứng ghi trong sổ gốc cấp văn bằng, chứng chỉ.</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làm việc kể từ ngày nhận hồ sơ</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làm việc kể từ ngày nhận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05 ngày làm việc kể từ ngày nhận hồ sơ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chỉnh sửa nội dung văn bằng, chứng chỉ</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bằng, chứng chỉ đề nghị chỉnh sửa</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khai sinh đối với trường hợp chỉnh sửa văn bằng, chứng chỉ do bổ sung hộ tịch, điều chỉnh hộ tịch, đăng ký lại việc sinh, đăng ký khai sinh quá hạn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chứng minh nhân dân hoặc căn cước công dân hoặc hộ chiếu hoặc giấy tờ tùy thân hợp pháp khác có ảnh của người được cấp văn bằng, chứng chỉ</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Thông tin ghi trên các giấy tờ này phải phù hợp với đề nghị chỉnh sửa nội dung văn bằng, chứng chỉ. Các tài liệu trong hồ sơ đề nghị chỉnh sửa nội dung văn bằng, chứng chỉ quy định tại các điểm b, c, d, đ nêu trên là bản sao từ sổ gốc hoặc bản sao được chứng thực từ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tài liệu trong hồ sơ đề nghị chỉnh sửa nội dung văn bằng, chứng chỉ quy định tại các điểm b, c, d, đ nêu trên là bản sao không có chứng thực thì người đề nghị chỉnh sửa văn bằng, chứng chỉ phải xuất trình bản chính để người tiếp nhận hồ sơ đối chiếu; người tiếp nhận hồ sơ phải ký xác nhận, ghi rõ họ tên vào bản sao và chịu trách nhiệm về tính chính xác của bản sao so với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sở giáo dục phổ thông, Ủy ban nhân dân cấp Huyện, Sở Giáo dục và Đào tạo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Văn phòng Sở Giáo dục và Đào tạo tỉnh Điện Biên hoặc Văn phòng HĐND-UBND cấp huyện; - Cơ sở giáo dục phổ thông.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chỉnh sửa nội dung văn bằng, chứng chỉ</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19/2015/TT-BGDĐT</w:t>
            </w:r>
          </w:p>
        </w:tc>
        <w:tc>
          <w:p/>
          <w:p>
            <w:pPr>
              <w:spacing w:after="0" w:before="0" w:lineRule="auto" w:line="276"/>
              <w:jc w:val="left"/>
            </w:pPr>
            <w:r>
              <w:rPr>
                <w:rFonts w:ascii="Times New Roman" w:hAnsi="Times New Roman" w:cs="Times New Roman" w:eastAsia="Times New Roman"/>
                <w:b w:val="false"/>
                <w:sz w:val="26"/>
              </w:rPr>
              <w:t>Ban hành Quy chế quản lý bằng tốt nghiệp trung học cơ sở, bằng tốt nghiệp trung học phổ thông, văn bằng giáo dục đại học và chứng chỉ của hệ thống giáo dục quốc dân</w:t>
            </w:r>
          </w:p>
        </w:tc>
        <w:tc>
          <w:p/>
          <w:p>
            <w:pPr>
              <w:spacing w:after="0" w:before="0" w:lineRule="auto" w:line="276"/>
              <w:jc w:val="left"/>
            </w:pPr>
            <w:r>
              <w:rPr>
                <w:rFonts w:ascii="Times New Roman" w:hAnsi="Times New Roman" w:cs="Times New Roman" w:eastAsia="Times New Roman"/>
                <w:b w:val="false"/>
                <w:sz w:val="26"/>
              </w:rPr>
              <w:t>08-09-2015</w:t>
            </w:r>
          </w:p>
        </w:tc>
        <w:tc>
          <w:p/>
          <w:p>
            <w:pPr>
              <w:spacing w:after="0" w:before="0" w:lineRule="auto" w:line="276"/>
              <w:jc w:val="left"/>
            </w:pPr>
            <w:r>
              <w:rPr>
                <w:rFonts w:ascii="Times New Roman" w:hAnsi="Times New Roman" w:cs="Times New Roman" w:eastAsia="Times New Roman"/>
                <w:b w:val="false"/>
                <w:sz w:val="26"/>
              </w:rPr>
              <w:t>Bộ Giáo dục và Đào tạo</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được cấp văn bằng, chứng chỉ có quyền yêu cầu chỉnh sửa nội dung ghi trên văn bằng, chứng chỉ trong các trường hợp sau:
a) Được cơ quan có thẩm quyền quyết định thay đổi hoặc cải chính hộ tịch;
b) Được xác định lại dân tộc, xác định lại giới tính;
c) Được bổ sung hộ tịch, điều chỉnh hộ tịch;
d) Được đăng ký khai sinh quá hạn, đăng ký lại việc sinh.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2023-05-19T07:52:37Z</dcterms:created>
  <dc:creator>Apache POI</dc:creator>
</cp:coreProperties>
</file>