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2.000913.000.00.00.H18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việc sửa đổi, bổ sung, hủy bỏ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giấy tờ tùy thân còn giá trị sử dụng để người thực hiện chứng thực kiểm tra và nộp 01 bộ hồ sơ .</w:t>
      </w:r>
    </w:p>
    <w:p>
      <w:pPr>
        <w:spacing w:after="0" w:before="0" w:lineRule="auto" w:line="276"/>
        <w:jc w:val="both"/>
      </w:pPr>
      <w:r>
        <w:rPr>
          <w:rFonts w:ascii="Times New Roman" w:hAnsi="Times New Roman" w:cs="Times New Roman" w:eastAsia="Times New Roman"/>
          <w:b w:val="false"/>
          <w:sz w:val="26"/>
        </w:rPr>
        <w:t>+ Việc sửa đổi, bổ sung, hủy bỏ hợp đồng, giao dịch đã được chứng thực chỉ được thực hiện khi có thỏa thuận bằng văn bản của các bên tham gia hợp đồng, giao dịch.</w:t>
      </w:r>
    </w:p>
    <w:p>
      <w:pPr>
        <w:spacing w:after="0" w:before="0" w:lineRule="auto" w:line="276"/>
        <w:jc w:val="both"/>
      </w:pPr>
      <w:r>
        <w:rPr>
          <w:rFonts w:ascii="Times New Roman" w:hAnsi="Times New Roman" w:cs="Times New Roman" w:eastAsia="Times New Roman"/>
          <w:b w:val="false"/>
          <w:sz w:val="26"/>
        </w:rPr>
        <w:t>+ Việc sửa đổi, bổ sung, hủy bỏ hợp đồng, giao dịch được thực hiện tại cơ quan đã chứng thực hợp đồng, giao dịch. Trường hợp sửa đổi, bổ sung, thay thế, hủy bỏ một phần hoặc toàn bộ di chúc thì có thể chứng thực tại bất kỳ cơ quan có thẩm quyền chứng thực nào.</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trong trường hợp tiếp nhận hồ sơ tại bộ phận một cửa, một cửa liên thông) kiểm tra giấy tờ trong hồ sơ yêu cầu chứng thực, nếu đầy đủ tại thời điểm chứng thực các bên tham gia hợp đồng, giao dịch tự nguyện, minh mẫn và nhận thức, làm chủ được hành vi của mình thì tiếp nhận hồ sơ, thực hiện chứng thực.</w:t>
      </w:r>
    </w:p>
    <w:p>
      <w:pPr>
        <w:spacing w:after="0" w:before="0" w:lineRule="auto" w:line="276"/>
        <w:jc w:val="both"/>
      </w:pPr>
      <w:r>
        <w:rPr>
          <w:rFonts w:ascii="Times New Roman" w:hAnsi="Times New Roman" w:cs="Times New Roman" w:eastAsia="Times New Roman"/>
          <w:b w:val="false"/>
          <w:sz w:val="26"/>
        </w:rPr>
        <w:t>+ Các bên tham gia hợp đồng, giao dịch phải ký trước mặt người thực hiện chứng thực, nếu hợp đồng có từ hai trang trở lên thì phải ký vào từng trang. Trường hợp người yêu cầu chứng thực nộp hồ sơ tại bộ phận một cửa, một cửa liên thông thì các bên tham gia hợp đồng,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(hoặc người tiếp nhận hồ sơ tại bộ phận một cửa, một cửa liên thông) phải đối chiếu chữ ký của họ trong hợp đồng với chữ ký mẫu trước khi thực hiện chứng thực, nếu nghi ngờ chữ ký trong hợp đồng khác với chữ ký mẫu thì yêu cầu người đó ký trước mặt.</w:t>
      </w:r>
    </w:p>
    <w:p>
      <w:pPr>
        <w:spacing w:after="0" w:before="0" w:lineRule="auto" w:line="276"/>
        <w:jc w:val="both"/>
      </w:pPr>
      <w:r>
        <w:rPr>
          <w:rFonts w:ascii="Times New Roman" w:hAnsi="Times New Roman" w:cs="Times New Roman" w:eastAsia="Times New Roman"/>
          <w:b w:val="false"/>
          <w:sz w:val="26"/>
        </w:rPr>
        <w:t>+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hợp đồng, giao dịch. Người làm chứng do người yêu cầu chứng thực bố trí. Trường hợp người yêu cầu chứng thực không bố trí được thì đề nghị cơ quan thực hiện chứng thực chỉ định người làm chứng.</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ghi lời chứng tương ứng với từng loại hợp đồng, giao dịch theo mẫu quy định. Trường hợp tiếp nhận hồ sơ tại bộ phận một cửa, một cửa liên thông thì người tiếp nhận hồ sơ ký vào từng trang của hợp đồng, giao dịch và ký vào dưới lời chứng theo mẫu quy định.</w:t>
      </w:r>
    </w:p>
    <w:p>
      <w:pPr>
        <w:spacing w:after="0" w:before="0" w:lineRule="auto" w:line="276"/>
        <w:jc w:val="both"/>
      </w:pPr>
      <w:r>
        <w:rPr>
          <w:rFonts w:ascii="Times New Roman" w:hAnsi="Times New Roman" w:cs="Times New Roman" w:eastAsia="Times New Roman"/>
          <w:b w:val="false"/>
          <w:sz w:val="26"/>
        </w:rPr>
        <w:t>Người thực hiện chưng thực ký vào từng trang của hợp đồng, giao dịch (nếu hồ sơ không được tiếp nhận qua bộ phận một cửa, một chửa liên thông), ký, ghi rõ họ tên, đóng dấu của cơ quan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hợp đồng, giao dịch có từ 02 (hai) trang trở lên, thì từng trang phải được đánh số thứ tự; số lượng trang và lời chứng được ghi tại trang cuối của hợp đồng, giao dịch. Trường hợp hợp đồng, giao dịch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hợp đồng, giao dịch, nội dung lời chứng cho người yêu cầu chứng thực và ký vào từng trang hợp đồng với tư cách là người phiên dịch.</w:t>
      </w:r>
    </w:p>
    <w:p>
      <w:pPr>
        <w:spacing w:after="0" w:before="0" w:lineRule="auto" w:line="276"/>
        <w:jc w:val="both"/>
      </w:pPr>
      <w:r>
        <w:rPr>
          <w:rFonts w:ascii="Times New Roman" w:hAnsi="Times New Roman" w:cs="Times New Roman" w:eastAsia="Times New Roman"/>
          <w:b w:val="false"/>
          <w:sz w:val="26"/>
        </w:rPr>
        <w:t>+ Cơ quan thực hiện việc sửa đổi, bổ sung, thay thế, hủy bỏ một phần hoặc toàn bộ di chúc phải thông báo bằng văn bản cho cơ quan đã chứng thực trước đây về nội dung sửa đổi, bổ sung, thay thế, hủy bỏ một phần hoặc toàn bộ di chúc để ghi chú vào Sổ chứng thực hợp đồng, giao dịch.</w:t>
      </w:r>
    </w:p>
    <w:p>
      <w:pPr>
        <w:spacing w:after="0" w:before="0" w:lineRule="auto" w:line="276"/>
        <w:jc w:val="both"/>
      </w:pPr>
      <w:r>
        <w:rPr>
          <w:rFonts w:ascii="Times New Roman" w:hAnsi="Times New Roman" w:cs="Times New Roman" w:eastAsia="Times New Roman"/>
          <w:b w:val="false"/>
          <w:sz w:val="26"/>
        </w:rPr>
        <w:t>+ Người yêu cầu chứng thực nhận kết quả tại nơi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br/>
              <w:t>File đính kèm: VanBanGoc_226-2016-TT-BTC.pdf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br/>
              <w:t>File đính kèm: VanBanGoc_226-2016-TT-BTC.pdf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giao dịch sửa đổi, bổ sung, hủy bỏ giao dịch đã được chứng thực. Trong trường hợp nội dung sửa đổi, bổ sung, hủy bỏ giao dịch có liên quan đến tài sản phải đăng ký quyền sở hữu, quyền sử dụng thì người yêu cầu chứng thực phải nộp bản sao giấy tờ chứng minh quyền sở hữu, quyền sử dụng hoặc giấy tờ thay thế được pháp luật quy định và xuất trình bản chính để đối chiếu; trừ trường hợp người lập di chúc đang bị cái chết đe dọa đến tính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sửa đổi, bổ sung, hủy bỏ giao dịch đã được chứng thực chỉ được thực hiện khi có thỏa thuận bằng văn bản của các bên tham gia giao dịch.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2025-11-19T01:32:37Z</dcterms:created>
  <dc:creator>Apache POI</dc:creator>
</cp:coreProperties>
</file>