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1.004002.000.00.00.H18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lại phương tiện trong trường hợp chuyển quyền sở hữu phương tiện nhưng không thay đổi cơ quan đăng ký phương tiện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Đường thủy nội địa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a) Nộp hồ sơ TTHC:</w:t>
      </w:r>
    </w:p>
    <w:p>
      <w:pPr>
        <w:spacing w:after="0" w:before="0" w:lineRule="auto" w:line="276"/>
        <w:jc w:val="both"/>
      </w:pPr>
      <w:r>
        <w:rPr>
          <w:rFonts w:ascii="Times New Roman" w:hAnsi="Times New Roman" w:cs="Times New Roman" w:eastAsia="Times New Roman"/>
          <w:b w:val="false"/>
          <w:sz w:val="26"/>
        </w:rPr>
        <w:t>+ Cục Đường thủy nội địa Việt Nam và các Chi cục Đường thủy nội địa khu vực tổ chức, thực hiện đăng ký phương tiện mang cấp VR-SB của tổ chức, cá nhân.</w:t>
      </w:r>
    </w:p>
    <w:p>
      <w:pPr>
        <w:spacing w:after="0" w:before="0" w:lineRule="auto" w:line="276"/>
        <w:jc w:val="both"/>
      </w:pPr>
      <w:r>
        <w:rPr>
          <w:rFonts w:ascii="Times New Roman" w:hAnsi="Times New Roman" w:cs="Times New Roman" w:eastAsia="Times New Roman"/>
          <w:b w:val="false"/>
          <w:sz w:val="26"/>
        </w:rPr>
        <w:t>Tổ chức, cá nhân nộp hồ sơ đề nghị đến cơ quan đăng ký phương tiện có thẩm quyền.</w:t>
      </w:r>
    </w:p>
    <w:p>
      <w:pPr>
        <w:spacing w:after="0" w:before="0" w:lineRule="auto" w:line="276"/>
        <w:jc w:val="both"/>
      </w:pPr>
      <w:r>
        <w:rPr>
          <w:rFonts w:ascii="Times New Roman" w:hAnsi="Times New Roman" w:cs="Times New Roman" w:eastAsia="Times New Roman"/>
          <w:b w:val="false"/>
          <w:sz w:val="26"/>
        </w:rPr>
        <w:t>Cơ quan đăng ký phương tiện bao gồm:</w:t>
      </w:r>
    </w:p>
    <w:p>
      <w:pPr>
        <w:spacing w:after="0" w:before="0" w:lineRule="auto" w:line="276"/>
        <w:jc w:val="both"/>
      </w:pPr>
      <w:r>
        <w:rPr>
          <w:rFonts w:ascii="Times New Roman" w:hAnsi="Times New Roman" w:cs="Times New Roman" w:eastAsia="Times New Roman"/>
          <w:b w:val="false"/>
          <w:sz w:val="26"/>
        </w:rPr>
        <w:t>+ 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 trụ sở hoặc nơi đăng ký hộ khẩu thường trú tại tỉnh, thành phố trực thuộc Trung ương đó.</w:t>
      </w:r>
    </w:p>
    <w:p>
      <w:pPr>
        <w:spacing w:after="0" w:before="0" w:lineRule="auto" w:line="276"/>
        <w:jc w:val="both"/>
      </w:pPr>
      <w:r>
        <w:rPr>
          <w:rFonts w:ascii="Times New Roman" w:hAnsi="Times New Roman" w:cs="Times New Roman" w:eastAsia="Times New Roman"/>
          <w:b w:val="false"/>
          <w:sz w:val="26"/>
        </w:rPr>
        <w:t>+ Cơ quan quản lý giao thông cấp huyện thực hiện đăng ký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w:t>
      </w:r>
    </w:p>
    <w:p>
      <w:pPr>
        <w:spacing w:after="0" w:before="0" w:lineRule="auto" w:line="276"/>
        <w:jc w:val="both"/>
      </w:pPr>
      <w:r>
        <w:rPr>
          <w:rFonts w:ascii="Times New Roman" w:hAnsi="Times New Roman" w:cs="Times New Roman" w:eastAsia="Times New Roman"/>
          <w:b w:val="false"/>
          <w:sz w:val="26"/>
        </w:rPr>
        <w:t>+ Cấp xã, phường, thị trấn: Thực hiện đăng ký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 Tổ chức quản lý đối với phương tiện thô sơ có trọng tải toàn phần dưới 01 tấn hoặc sức chở dưới 05 người hoặc bè khi hoạt động trên đường thủy nội địa phải đảm bảo điều kiện an toàn theo quy định.</w:t>
      </w:r>
    </w:p>
    <w:p>
      <w:pPr>
        <w:spacing w:after="0" w:before="0" w:lineRule="auto" w:line="276"/>
        <w:jc w:val="both"/>
      </w:pPr>
      <w:r>
        <w:rPr>
          <w:rFonts w:ascii="Times New Roman" w:hAnsi="Times New Roman" w:cs="Times New Roman" w:eastAsia="Times New Roman"/>
          <w:b w:val="false"/>
          <w:sz w:val="26"/>
        </w:rPr>
        <w:t>+ Cơ quan đăng ký quy định tại khoản 2 Điều 8 được tổ chức, thực hiện đăng ký phương tiện quy định tại khoản 3, khoản 4 Điều 8 Thông tư số 75/2014/TT-BGTVT; cơ quan đăng ký quy định tại khoản 3 Điều 8 được tổ chức, thực hiện đăng ký phương tiện quy định tại khoản 4 Điều 8 Thông tư số 75/2014/TT-BGTVT.</w:t>
      </w:r>
    </w:p>
    <w:p>
      <w:pPr>
        <w:shd w:val="clear" w:color="auto" w:fill="F2F6F9"/>
        <w:spacing w:after="0" w:before="120" w:lineRule="auto" w:line="276"/>
        <w:jc w:val="both"/>
      </w:pPr>
      <w:r>
        <w:rPr>
          <w:rFonts w:ascii="Times New Roman" w:hAnsi="Times New Roman" w:cs="Times New Roman" w:eastAsia="Times New Roman"/>
          <w:b w:val="true"/>
          <w:sz w:val="26"/>
        </w:rPr>
        <w:t>b) Giải quyết TTHC:</w:t>
      </w:r>
    </w:p>
    <w:p>
      <w:pPr>
        <w:spacing w:after="0" w:before="0" w:lineRule="auto" w:line="276"/>
        <w:jc w:val="both"/>
      </w:pPr>
      <w:r>
        <w:rPr>
          <w:rFonts w:ascii="Times New Roman" w:hAnsi="Times New Roman" w:cs="Times New Roman" w:eastAsia="Times New Roman"/>
          <w:b w:val="false"/>
          <w:sz w:val="26"/>
        </w:rPr>
        <w:t xml:space="preserve"> Trường hợp hồ sơ nhận qua hệ thống bưu điện hoặc hình thức phù hợp khác, nếu hồ sơ không đầy đủ theo quy định, trong thời gian 02 ngày làm việc, kể từ ngày nhận được hồ sơ, có văn bản gửi tổ chức, cá nhân bổ sung, hoàn thiện hồ sơ;</w:t>
      </w:r>
    </w:p>
    <w:p>
      <w:pPr>
        <w:spacing w:after="0" w:before="0" w:lineRule="auto" w:line="276"/>
        <w:jc w:val="both"/>
      </w:pPr>
      <w:r>
        <w:rPr>
          <w:rFonts w:ascii="Times New Roman" w:hAnsi="Times New Roman" w:cs="Times New Roman" w:eastAsia="Times New Roman"/>
          <w:b w:val="false"/>
          <w:sz w:val="26"/>
        </w:rPr>
        <w:t xml:space="preserve">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pPr>
        <w:spacing w:after="0" w:before="0" w:lineRule="auto" w:line="276"/>
        <w:jc w:val="both"/>
      </w:pPr>
      <w:r>
        <w:rPr>
          <w:rFonts w:ascii="Times New Roman" w:hAnsi="Times New Roman" w:cs="Times New Roman" w:eastAsia="Times New Roman"/>
          <w:b w:val="false"/>
          <w:sz w:val="26"/>
        </w:rPr>
        <w:t xml:space="preserve"> Trong thời hạn 03 ngày làm việc, kể từ ngày nhận đủ hồ sơ theo quy định, cơ quan đăng ký cấp giấy chứng nhận đăng ký phương tiện cho chủ phương tiện. Trường hợp không cấp phải có văn bản trả lời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Xuất trình bản chính các loại giấy tờ sau đây để cơ quan đăng ký phương tiện kiểm tra:</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Hợp đồng mua bán phương tiện hoặc quyết định điều chuyển phương tiện của cơ quan có thẩm quyền hoặc giấy tờ khác chứng minh phương tiện được cho, tặng, thừa kế theo quy định của pháp luật.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an toàn kỹ thuật và bảo vệ môi trường của phương tiện còn hiệu lực đối với phương tiện thuộc diện đăng kiểm.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Giấy tờ phải nộp để lưu giữ tại cơ quan đăng ký phương tiện: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đăng ký lại phương tiện thủy nội địa theo mẫu;</w:t>
            </w:r>
          </w:p>
        </w:tc>
        <w:tc>
          <w:p/>
          <w:p>
            <w:pPr>
              <w:spacing w:after="0" w:before="0" w:lineRule="auto" w:line="276"/>
              <w:jc w:val="left"/>
            </w:pPr>
            <w:r>
              <w:rPr>
                <w:rFonts w:ascii="Times New Roman" w:hAnsi="Times New Roman" w:cs="Times New Roman" w:eastAsia="Times New Roman"/>
                <w:b w:val="false"/>
                <w:sz w:val="26"/>
              </w:rPr>
              <w:t>Mẫu30.doc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02 ảnh có kích thước 10 x 15 cm chụp toàn bộ mạn phải của phương tiện ở trạng thái nổi;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đăng ký phương tiện thủy nội địa đã được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lai nộp lệ phí trước bạ (bản chính) đối với phương tiện thuộc diện phải nộp lệ phí trước bạ.</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Đường thủy nội địa Việt Nam, Chi cục đường thủy nội địa, Ủy ban nhân dân cấp xã, Ủy ban nhân dân cấp Huyện, Sở Giao thông vận tải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UBND cấp huyện,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Đăng ký lại phương tiện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23/2004/QH11</w:t>
            </w:r>
          </w:p>
        </w:tc>
        <w:tc>
          <w:p/>
          <w:p>
            <w:pPr>
              <w:spacing w:after="0" w:before="0" w:lineRule="auto" w:line="276"/>
              <w:jc w:val="left"/>
            </w:pPr>
            <w:r>
              <w:rPr>
                <w:rFonts w:ascii="Times New Roman" w:hAnsi="Times New Roman" w:cs="Times New Roman" w:eastAsia="Times New Roman"/>
                <w:b w:val="false"/>
                <w:sz w:val="26"/>
              </w:rPr>
              <w:t>Giao thông đường thủy nội địa</w:t>
            </w:r>
          </w:p>
        </w:tc>
        <w:tc>
          <w:p/>
          <w:p>
            <w:pPr>
              <w:spacing w:after="0" w:before="0" w:lineRule="auto" w:line="276"/>
              <w:jc w:val="left"/>
            </w:pPr>
            <w:r>
              <w:rPr>
                <w:rFonts w:ascii="Times New Roman" w:hAnsi="Times New Roman" w:cs="Times New Roman" w:eastAsia="Times New Roman"/>
                <w:b w:val="false"/>
                <w:sz w:val="26"/>
              </w:rPr>
              <w:t>15-06-2004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47/2005/TT-BTC</w:t>
            </w:r>
          </w:p>
        </w:tc>
        <w:tc>
          <w:p/>
          <w:p>
            <w:pPr>
              <w:spacing w:after="0" w:before="0" w:lineRule="auto" w:line="276"/>
              <w:jc w:val="left"/>
            </w:pPr>
            <w:r>
              <w:rPr>
                <w:rFonts w:ascii="Times New Roman" w:hAnsi="Times New Roman" w:cs="Times New Roman" w:eastAsia="Times New Roman"/>
                <w:b w:val="false"/>
                <w:sz w:val="26"/>
              </w:rPr>
              <w:t>Hướng dẫn chế độ thu, nộp và quản lý sử dụng phí, lệ phí quản lý nhà nước về đảm bảo trật tự, an toàn giao thông đường thuỷ nội địa</w:t>
            </w:r>
          </w:p>
        </w:tc>
        <w:tc>
          <w:p/>
          <w:p>
            <w:pPr>
              <w:spacing w:after="0" w:before="0" w:lineRule="auto" w:line="276"/>
              <w:jc w:val="left"/>
            </w:pPr>
            <w:r>
              <w:rPr>
                <w:rFonts w:ascii="Times New Roman" w:hAnsi="Times New Roman" w:cs="Times New Roman" w:eastAsia="Times New Roman"/>
                <w:b w:val="false"/>
                <w:sz w:val="26"/>
              </w:rPr>
              <w:t>08-06-2005</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75/2014/TT-BGTVT	</w:t>
            </w:r>
          </w:p>
        </w:tc>
        <w:tc>
          <w:p/>
          <w:p>
            <w:pPr>
              <w:spacing w:after="0" w:before="0" w:lineRule="auto" w:line="276"/>
              <w:jc w:val="left"/>
            </w:pPr>
            <w:r>
              <w:rPr>
                <w:rFonts w:ascii="Times New Roman" w:hAnsi="Times New Roman" w:cs="Times New Roman" w:eastAsia="Times New Roman"/>
                <w:b w:val="false"/>
                <w:sz w:val="26"/>
              </w:rPr>
              <w:t>Quy định về đăng ký phương tiện thủy nội địa</w:t>
            </w:r>
          </w:p>
        </w:tc>
        <w:tc>
          <w:p/>
          <w:p>
            <w:pPr>
              <w:spacing w:after="0" w:before="0" w:lineRule="auto" w:line="276"/>
              <w:jc w:val="left"/>
            </w:pPr>
            <w:r>
              <w:rPr>
                <w:rFonts w:ascii="Times New Roman" w:hAnsi="Times New Roman" w:cs="Times New Roman" w:eastAsia="Times New Roman"/>
                <w:b w:val="false"/>
                <w:sz w:val="26"/>
              </w:rPr>
              <w:t>19-12-2014</w:t>
            </w:r>
          </w:p>
        </w:tc>
        <w:tc>
          <w:p/>
          <w:p>
            <w:pPr>
              <w:spacing w:after="0" w:before="0" w:lineRule="auto" w:line="276"/>
              <w:jc w:val="left"/>
            </w:pPr>
            <w:r>
              <w:rPr>
                <w:rFonts w:ascii="Times New Roman" w:hAnsi="Times New Roman" w:cs="Times New Roman" w:eastAsia="Times New Roman"/>
                <w:b w:val="false"/>
                <w:sz w:val="26"/>
              </w:rPr>
              <w:t>Bộ Giao thông vận tải</w:t>
            </w:r>
          </w:p>
        </w:tc>
      </w:tr>
      <w:tr>
        <w:tc>
          <w:p/>
          <w:p>
            <w:pPr>
              <w:spacing w:after="0" w:before="0" w:lineRule="auto" w:line="276"/>
              <w:jc w:val="left"/>
            </w:pPr>
            <w:r>
              <w:rPr>
                <w:rFonts w:ascii="Times New Roman" w:hAnsi="Times New Roman" w:cs="Times New Roman" w:eastAsia="Times New Roman"/>
                <w:b w:val="false"/>
                <w:sz w:val="26"/>
              </w:rPr>
              <w:t>198/2016/TT-BTC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lệ phí trong lĩnh vực đường thủy nội địa và đường sắt</w:t>
            </w:r>
          </w:p>
        </w:tc>
        <w:tc>
          <w:p/>
          <w:p>
            <w:pPr>
              <w:spacing w:after="0" w:before="0" w:lineRule="auto" w:line="276"/>
              <w:jc w:val="left"/>
            </w:pPr>
            <w:r>
              <w:rPr>
                <w:rFonts w:ascii="Times New Roman" w:hAnsi="Times New Roman" w:cs="Times New Roman" w:eastAsia="Times New Roman"/>
                <w:b w:val="false"/>
                <w:sz w:val="26"/>
              </w:rPr>
              <w:t>08-11-2016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2023-05-19T06:33:12Z</dcterms:created>
  <dc:creator>Apache POI</dc:creator>
</cp:coreProperties>
</file>