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xã hội mà bị tai nạn, chết khi thực hiện nhiệm vụ</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chuẩn bị hồ sơ theo quy định của pháp luật.
- Bước 2: Nộp hồ sơ cho Ủy ban nhân dân cấp xã.
- Bước 3: Ủy ban nhân dân cấp xã có trách nhiệm tổ chức tiếp nhận, kiểm tra hồ sơ. Trường hợp hồ sơ chưa hợp lệ phải có trách nhiệm hướng dẫn ngay để hoàn thiện. Trong thời hạn 02 ngày làm việc, kể từ ngày nhận đủ hồ sơ hợp lệ phải có trách nhiệm hướng dẫn ngay để hoàn thiện.
- Bước 4: Ủy ban nhân dân cấp xã có trách nhiệm phân công cơ quan trực thuộc thẩm định hồ sơ trong thời hạn 05 ngày làm việc, kể từ ngày nhận đủ hồ sơ hợp lệ. Trường hợp hồ sơ không đủ điều kiện giải quyết thì cơ quan thẩm định phải có văn bản trả lời, nêu rõ lý do.
- Bước 5: Trong thời hạn 03 ngày làm việc, kể từ ngày cơ quan thẩm định báo cáo hồ sơ đủ điều kiện giải quyết, Chủ tịch Ủy ban nhân dân cấp xã ra quyết định chi trả và tổ chức chi trả trợ cấp cho người bị tai nạn, thân nhân người đã chết. Việc chi trả bằng hình thức chuyển khoản hoặc qua đường bưu chính hoặc trực tiếp nhận tại cơ quan chi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03 ngày làm việc, kể từ ngày cơ quan thẩm định báo cáo hồ sơ đủ điều kiện giải quyết, ra quyết định chi trả và tổ chức chi trả trợ cấp cho người bị tai nạn, thân nhân người đã chết.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03 ngày làm việc, kể từ ngày cơ quan thẩm định báo cáo hồ sơ đủ điều kiện giải quyết, ra quyết định chi trả và tổ chức chi trả trợ cấp cho người bị tai nạn, thân nhân người đã chết.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trong đó:
- Trung tâm Phục vụ hành chính công: tiếp nhận, kiểm tra hồ sơ, thông báo hoàn thiện hồ sơ trong 02 ngày làm việc.
- Cơ quan chuyên môn thuộc UBND cấp xã: thẩm định hồ sơ trong thời hạn 05 ngày làm việc, kể từ ngày nhận đủ hồ sơ hợp lệ.
- Chủ tịch UBND cấp xã: trong thời hạn 03 ngày làm việc, kể từ ngày cơ quan thẩm định báo cáo hồ sơ đủ điều kiện giải quyết, ra quyết định chi trả và tổ chức chi trả trợ cấp cho người bị tai nạn, thân nhân người đã chết.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Hồ sơ đề nghị hưởng trợ cấp tai nạn,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ra viện hoặc trích sao hồ sơ bệnh án sau khi điều trị tai nạn đối với trường hợp điều trị nội trú hoặc bản sao giấy chứng nhận thương tích do cơ sở y tế nơi đã cấp cứu, điều trị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giám định mức suy giảm khả năng lao động của hội đồng giám định y khoa bệnh viện cấp tỉnh và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bị tai nạn giao thông thì có thêm biên bản của cơ quan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trợ cấp tai nạn, trợ cấp tiền tuất, tiền mai táng phí (Mẫu số 02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Mus02-nnghtrcptainntutN40.2024suatheoN184.2025.docx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Hồ sơ đề nghị hưởng trợ cấp tiền tuất, tiền mai táng phí,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trợ cấp tai nạn, trợ cấp tiền tuất, tiền mai táng phí (Mẫu số 02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Mus02-nnghtrcptainntutN40.2024suatheoN184.2025.docx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ra viện hoặc trích sao hồ sơ bệnh án sau khi điều trị tai nạn đối với trường hợp điều trị nội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bị tai nạn giao thông dẫn đến chết thì có thêm biên bản của cơ quan Công 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Khi các cơ quan quản lý nhà nước hoàn thành việc kết nối, chia sẻ dữ liệu thông tin có trong thành phần hồ sơ quy định tại khoản này thì cơ quan có thẩm quyền giải quyết thủ tục phải khai thác trực tuyến để giải quyết mà không được yêu cầu người đề nghị cung cấp hồ sơ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các xã, phường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trả trợ cấp tai nạn, trợ cấp tiền tuất, tiền mai táng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30/2023/QH15</w:t>
            </w:r>
          </w:p>
        </w:tc>
        <w:tc>
          <w:p/>
          <w:p>
            <w:pPr>
              <w:spacing w:after="0" w:before="0" w:lineRule="auto" w:line="276"/>
              <w:jc w:val="left"/>
            </w:pPr>
            <w:r>
              <w:rPr>
                <w:rFonts w:ascii="Times New Roman" w:hAnsi="Times New Roman" w:cs="Times New Roman" w:eastAsia="Times New Roman"/>
                <w:b w:val="false"/>
                <w:sz w:val="26"/>
              </w:rPr>
              <w:t>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40/2024/NĐ-CP</w:t>
            </w:r>
          </w:p>
        </w:tc>
        <w:tc>
          <w:p/>
          <w:p>
            <w:pPr>
              <w:spacing w:after="0" w:before="0" w:lineRule="auto" w:line="276"/>
              <w:jc w:val="left"/>
            </w:pPr>
            <w:r>
              <w:rPr>
                <w:rFonts w:ascii="Times New Roman" w:hAnsi="Times New Roman" w:cs="Times New Roman" w:eastAsia="Times New Roman"/>
                <w:b w:val="false"/>
                <w:sz w:val="26"/>
              </w:rPr>
              <w:t>Nghị định số 40/2024/NĐ-CP của Chính phủ: Quy định chi tiết một số điều của 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184/2025/NĐ-CP</w:t>
            </w:r>
          </w:p>
        </w:tc>
        <w:tc>
          <w:p/>
          <w:p>
            <w:pPr>
              <w:spacing w:after="0" w:before="0" w:lineRule="auto" w:line="276"/>
              <w:jc w:val="left"/>
            </w:pPr>
            <w:r>
              <w:rPr>
                <w:rFonts w:ascii="Times New Roman" w:hAnsi="Times New Roman" w:cs="Times New Roman" w:eastAsia="Times New Roman"/>
                <w:b w:val="false"/>
                <w:sz w:val="26"/>
              </w:rPr>
              <w:t>Nghị định số 184/2025/NĐ-CP của Chính phủ: Quy định phân định thẩm quyền khi tổ chức chính quyền địa phương 02 cấp và sửa đổi, bổ sung một số điều của các Nghị định của Chính phủ trong lĩnh vực an ninh, trật tự</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tham gia lực lượng tham gia bảo vệ an ninh, trật tự ở cơ sở bảo đảm điều kiện quy định tại khoản 1 và khoản 2 Điều 6 Nghị định số 40/2024/NĐ-CP của Chính phủ, cụ thể là:
1. Điều kiện được hưởng chế độ, chính sách theo quy định tại khoản 3 Điều 24 Luật Lực lượng tham gia bảo vệ an ninh, trật tự ở cơ sở trong các trường hợp sau:
a) Trong thời gian thực hiện nhiệm vụ theo sự phân công, kế hoạch của cấp có thẩm quyền hoặc khi được điều động, huy động thực hiện nhiệm vụ;
b) Trong khoảng thời gian và tuyến đường đi và về từ nơi ở đến nơi thực hiện nhiệm vụ.
2. Các trường hợp quy định tại khoản 2 Điều 5 Nghị định này bị tai nạn, chết không được hưởng chế độ trợ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xã hội mà bị tai nạn, chết khi thực hiện nhiệm vụ</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2025-10-28T10:16:05Z</dcterms:created>
  <dc:creator>Apache POI</dc:creator>
</cp:coreProperties>
</file>