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1.002407.000.00.00.H18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1172/QĐ-UBND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Xét, cấp học bổng chính sách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và Đào tạo thuộc hệ thống giáo dục quốc dân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Đối với học sinh, sinh viên hệ cử tuyển (được quy định tại Nghị định số 134/2006/NĐ-CP ngày 14 tháng 11 năm 2006 của Chính phủ quy định chế độ cử tuyển vào các cơ sở giáo dục trình độ đại học, cao đẳng, trung cấp thuộc hệ thống giáo dục quốc dân):</w:t>
      </w:r>
    </w:p>
    <w:p>
      <w:pPr>
        <w:spacing w:after="0" w:before="0" w:lineRule="auto" w:line="276"/>
        <w:jc w:val="both"/>
      </w:pPr>
      <w:r>
        <w:rPr>
          <w:rFonts w:ascii="Times New Roman" w:hAnsi="Times New Roman" w:cs="Times New Roman" w:eastAsia="Times New Roman"/>
          <w:b w:val="false"/>
          <w:sz w:val="26"/>
        </w:rPr>
        <w:t>Sau khi nhập học 15 ngày, học sinh, sinh viên nộp đầy đủ hồ sơ theo quy định tại điểm a khoản 1 Điều này (trực tiếp hoặc qua đường bưu điện) về Bộ phận tiếp nhận và trả kết quả thuộc Văn phòng Sở Giáo dục và Đào tạo tỉnh Điện Biên.(theo sự phân cấp cơ quan quản lý nhà nước về giáo dục nghề nghiệp theo quy định tại Nghị định số 48/2015/NĐ-CP ngày 15/5/2015 của Chính phủ về việc quy định chi tiết một số điều của Luật giáo dục nghề nghiệp);</w:t>
      </w:r>
    </w:p>
    <w:p>
      <w:pPr>
        <w:spacing w:after="0" w:before="0" w:lineRule="auto" w:line="276"/>
        <w:jc w:val="both"/>
      </w:pPr>
      <w:r>
        <w:rPr>
          <w:rFonts w:ascii="Times New Roman" w:hAnsi="Times New Roman" w:cs="Times New Roman" w:eastAsia="Times New Roman"/>
          <w:b w:val="false"/>
          <w:sz w:val="26"/>
        </w:rPr>
        <w:t>Học sinh, sinh viên nhận học bổng chính sách: trực tiếp tại  Bộ phận tiếp nhận và trả kết quả thuộc Văn phòng Sở Giáo dục và Đào tạo tỉnh Điện Biên.</w:t>
      </w:r>
    </w:p>
    <w:p>
      <w:pPr>
        <w:spacing w:after="0" w:before="0" w:lineRule="auto" w:line="276"/>
        <w:jc w:val="both"/>
      </w:pPr>
      <w:r>
        <w:rPr>
          <w:rFonts w:ascii="Times New Roman" w:hAnsi="Times New Roman" w:cs="Times New Roman" w:eastAsia="Times New Roman"/>
          <w:b w:val="false"/>
          <w:sz w:val="26"/>
        </w:rPr>
        <w:t>Thương binh và Xã hội (theo sự phân cấp cơ quan quản lý nhà nước về giáo dục nghề nghiệp theo quy định tại Nghị định số 48/2015/NĐ-CP ngày 15/5/2015 của Chính phủ về việc quy định chi tiết một số điều của Luật giáo dục nghề nghiệp) hoặc gián tiếp thông qua thẻ ATM của học sinh, sinh viên, theo định kỳ xét, cấp học bổng chính sách được quy định tại điểm b khoản 2 Mục V của Thông tư liên tịch số 23/2008/TTLT-BGDĐT-BLĐTBXH-BTC ngày 28/4/2008.</w:t>
      </w:r>
    </w:p>
    <w:p>
      <w:pPr>
        <w:shd w:val="clear" w:color="auto" w:fill="F2F6F9"/>
        <w:spacing w:after="0" w:before="120" w:lineRule="auto" w:line="276"/>
        <w:jc w:val="both"/>
      </w:pPr>
      <w:r>
        <w:rPr>
          <w:rFonts w:ascii="Times New Roman" w:hAnsi="Times New Roman" w:cs="Times New Roman" w:eastAsia="Times New Roman"/>
          <w:b w:val="true"/>
          <w:sz w:val="26"/>
        </w:rPr>
        <w:t>Đối với học sinh, sinh viên đang học tại các trường phổ thông dân tộc nội trú, trường dự bị đại học, trừ học sinh, sinh viên là người dân tộc thiểu số đang được hưởng chế độ học bổng chính sách quy định tại Quyết định số 82/2006/QĐ-TTg ngày 14 tháng 4 năm 2006 của Thủ tướng Chính phủ về việc điều chỉnh mức học bổng chính sách đối với học sinh, sinh viên là người dân tộc thiểu số học tại các trường phổ thông dân tộc nội trú  và trường dự bị đại học quy định tại Quyết định số 194/2001/QĐ-TTg ngày 21 tháng 12 năm 2001 của Thủ tướng Chính phủ:</w:t>
      </w:r>
    </w:p>
    <w:p>
      <w:pPr>
        <w:spacing w:after="0" w:before="0" w:lineRule="auto" w:line="276"/>
        <w:jc w:val="both"/>
      </w:pPr>
      <w:r>
        <w:rPr>
          <w:rFonts w:ascii="Times New Roman" w:hAnsi="Times New Roman" w:cs="Times New Roman" w:eastAsia="Times New Roman"/>
          <w:b w:val="false"/>
          <w:sz w:val="26"/>
        </w:rPr>
        <w:t>Khi nhập học, học sinh, sinh viên nộp hồ sơ cho nhà trường nơi học sinh, sinh viên đang theo học để xét, cấp học bổng chính sách;</w:t>
      </w:r>
    </w:p>
    <w:p>
      <w:pPr>
        <w:spacing w:after="0" w:before="0" w:lineRule="auto" w:line="276"/>
        <w:jc w:val="both"/>
      </w:pPr>
      <w:r>
        <w:rPr>
          <w:rFonts w:ascii="Times New Roman" w:hAnsi="Times New Roman" w:cs="Times New Roman" w:eastAsia="Times New Roman"/>
          <w:b w:val="false"/>
          <w:sz w:val="26"/>
        </w:rPr>
        <w:t>Học sinh, sinh viên nhận học bổng chính sách tại nhà trường nơi đang theo học theo định kỳ xét, cấp học bổng chính sách được quy định tại điểm b khoản 2 Mục V của Thông tư liên tịch số 23/2008/TTLT-BGDĐT-BLĐTBXH-BTC ngày 28/4/2008.</w:t>
      </w:r>
    </w:p>
    <w:p>
      <w:pPr>
        <w:shd w:val="clear" w:color="auto" w:fill="F2F6F9"/>
        <w:spacing w:after="0" w:before="120" w:lineRule="auto" w:line="276"/>
        <w:jc w:val="both"/>
      </w:pPr>
      <w:r>
        <w:rPr>
          <w:rFonts w:ascii="Times New Roman" w:hAnsi="Times New Roman" w:cs="Times New Roman" w:eastAsia="Times New Roman"/>
          <w:b w:val="true"/>
          <w:sz w:val="26"/>
        </w:rPr>
        <w:t>Đối với học viên là thương binh, người tàn tật, người khuyết tật thuộc diện không hưởng lương hoặc sinh hoạt phí trong thời gian đang học tại các trường dạy nghề dành cho thương binh, người tàn tật, người khuyết tật:</w:t>
      </w:r>
    </w:p>
    <w:p>
      <w:pPr>
        <w:spacing w:after="0" w:before="0" w:lineRule="auto" w:line="276"/>
        <w:jc w:val="both"/>
      </w:pPr>
      <w:r>
        <w:rPr>
          <w:rFonts w:ascii="Times New Roman" w:hAnsi="Times New Roman" w:cs="Times New Roman" w:eastAsia="Times New Roman"/>
          <w:b w:val="false"/>
          <w:sz w:val="26"/>
        </w:rPr>
        <w:t>Khi nhập học, học viên nộp hồ sơ cho nhà trường nơi học sinh, sinh viên đang theo học để xét, cấp học bổng chính sách;</w:t>
      </w:r>
    </w:p>
    <w:p>
      <w:pPr>
        <w:spacing w:after="0" w:before="0" w:lineRule="auto" w:line="276"/>
        <w:jc w:val="both"/>
      </w:pPr>
      <w:r>
        <w:rPr>
          <w:rFonts w:ascii="Times New Roman" w:hAnsi="Times New Roman" w:cs="Times New Roman" w:eastAsia="Times New Roman"/>
          <w:b w:val="false"/>
          <w:sz w:val="26"/>
        </w:rPr>
        <w:t>Học viên nhận học bổng chính sách tại nhà trường nơi đang theo học theo định kỳ xét, cấp học bổng chính sách được quy định tại điểm b khoản 2 Mục V của Thông tư liên tịch số 23/2008/TTLT-BGDĐT-BLĐTBXH-BTC ngày 28/4/2008.</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0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a) Đối với sinh viên theo chế độ cử tuyển:
- Sở Nội vụ, Sở Lao động - Thương binh và Xã hội tiếp nhận hồ sơ, thẩm định, lập danh sách, dự toán nhu cầu kinh phí và thực hiện việc chi trả học bổng chính sách cho sinh viên theo quy định.
- Trường hợp hồ sơ không bảo đảm đúng quy định, Sở Nội vụ, Sở Lao động - Thương binh và Xã hội có trách nhiệm thông báo cho người học trong thời hạn 07 ngày làm việc kể từ ngày nhận được hồ sơ.
b) Đối với học sinh trường dự bị đại học, trường phổ thông dân tộc nội trú:
- Cơ sở giáo dục tiếp nhận hồ sơ, thẩm định, lập danh sách, dự toán nhu cầu kinh phí gửi về cơ quan quản lý trực tiếp.
- Trường hợp hồ sơ không bảo đảm đúng quy định, cơ sở giáo dục có trách nhiệm thông báo cho người học trong thời hạn 05 ngày làm việc kể từ ngày nhận được hồ sơ.
c) Đối với học viên cơ sở giáo dục nghề nghiệp dành cho thương binh, người khuyết tật:
-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trình cơ quan quản lý trực tiếp phê duyệt, tổng hợp gửi cơ quan tài chính trình cấp có thẩm quyền phê duyệt. Trường hợp hồ sơ không bảo đảm đúng quy định, cơ sở giáo dục nghề nghiệp công lập có trách nhiệm thông báo cho người học trong thời hạn 05 ngày làm việc kể từ ngày nhận được hồ sơ;
- Đối với học viên cơ sở giáo dục nghề nghiệp tư thục: Học viên làm đơn đề nghị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Trường hợp hồ sơ không bảo đảm theo quy định, Phòng Lao động - Thương binh và Xã hội có trách nhiệm thông báo cho người học trong thời hạn 07 ngày làm việc kể từ ngày nhận được hồ sơ.</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0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a) Đối với sinh viên theo chế độ cử tuyển:
- Sở Nội vụ, Sở Lao động - Thương binh và Xã hội tiếp nhận hồ sơ, thẩm định, lập danh sách, dự toán nhu cầu kinh phí và thực hiện việc chi trả học bổng chính sách cho sinh viên theo quy định.
- Trường hợp hồ sơ không bảo đảm đúng quy định, Sở Nội vụ, Sở Lao động - Thương binh và Xã hội có trách nhiệm thông báo cho người học trong thời hạn 07 ngày làm việc kể từ ngày nhận được hồ sơ.
b) Đối với học sinh trường dự bị đại học, trường phổ thông dân tộc nội trú:
- Cơ sở giáo dục tiếp nhận hồ sơ, thẩm định, lập danh sách, dự toán nhu cầu kinh phí gửi về cơ quan quản lý trực tiếp.
- Trường hợp hồ sơ không bảo đảm đúng quy định, cơ sở giáo dục có trách nhiệm thông báo cho người học trong thời hạn 05 ngày làm việc kể từ ngày nhận được hồ sơ.
c) Đối với học viên cơ sở giáo dục nghề nghiệp dành cho thương binh, người khuyết tật:
-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trình cơ quan quản lý trực tiếp phê duyệt, tổng hợp gửi cơ quan tài chính trình cấp có thẩm quyền phê duyệt. Trường hợp hồ sơ không bảo đảm đúng quy định, cơ sở giáo dục nghề nghiệp công lập có trách nhiệm thông báo cho người học trong thời hạn 05 ngày làm việc kể từ ngày nhận được hồ sơ;
- Đối với học viên cơ sở giáo dục nghề nghiệp tư thục: Học viên làm đơn đề nghị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Trường hợp hồ sơ không bảo đảm theo quy định, Phòng Lao động - Thương binh và Xã hội có trách nhiệm thông báo cho người học trong thời hạn 07 ngày làm việc kể từ ngày nhận được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0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a) Đối với sinh viên theo chế độ cử tuyển:
- Sở Nội vụ, Sở Lao động - Thương binh và Xã hội tiếp nhận hồ sơ, thẩm định, lập danh sách, dự toán nhu cầu kinh phí và thực hiện việc chi trả học bổng chính sách cho sinh viên theo quy định.
- Trường hợp hồ sơ không bảo đảm đúng quy định, Sở Nội vụ, Sở Lao động - Thương binh và Xã hội có trách nhiệm thông báo cho người học trong thời hạn 07 ngày làm việc kể từ ngày nhận được hồ sơ.
b) Đối với học sinh trường dự bị đại học, trường phổ thông dân tộc nội trú:
- Cơ sở giáo dục tiếp nhận hồ sơ, thẩm định, lập danh sách, dự toán nhu cầu kinh phí gửi về cơ quan quản lý trực tiếp.
- Trường hợp hồ sơ không bảo đảm đúng quy định, cơ sở giáo dục có trách nhiệm thông báo cho người học trong thời hạn 05 ngày làm việc kể từ ngày nhận được hồ sơ.
c) Đối với học viên cơ sở giáo dục nghề nghiệp dành cho thương binh, người khuyết tật:
- Đối với học viên cơ sở giáo dục nghề nghiệp công lập: Hiệu trưởng cơ sở giáo dục nghề nghiệp công lập tổ chức thẩm định hồ sơ, tổng hợp, lập danh sách và dự toán kinh phí thực hiện chế độ hỗ trợ chi phí học tập cho sinh viên trình cơ quan quản lý trực tiếp phê duyệt, tổng hợp gửi cơ quan tài chính trình cấp có thẩm quyền phê duyệt. Trường hợp hồ sơ không bảo đảm đúng quy định, cơ sở giáo dục nghề nghiệp công lập có trách nhiệm thông báo cho người học trong thời hạn 05 ngày làm việc kể từ ngày nhận được hồ sơ;
- Đối với học viên cơ sở giáo dục nghề nghiệp tư thục: Học viên làm đơn đề nghị gửi cơ sở giáo dục nghề nghiệp nơi theo học để xác nhận vào đơn trong thời hạn 10 ngày làm việc kể từ ngày nhận được đơn và hướng dẫn học viên gửi hồ sơ về Phòng Lao động - Thương binh và Xã hội nơi học viên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Trường hợp hồ sơ không bảo đảm theo quy định, Phòng Lao động - Thương binh và Xã hội có trách nhiệm thông báo cho người học trong thời hạn 07 ngày làm việc kể từ ngày nhận được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Đối với học sinh trường dự bị đại học, trường phổ thông dân tộc nội trú: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giấy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báo trúng tuyển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Đối với học viên cơ sở giáo dục nghề nghiệp dành cho thương binh, người khuyết tật: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(Theo Mẫu số 02; Mẫu số 03 tại Phụ lục ban hành kèm theo Nghị định số 84/2020/NĐ-CP).</w:t>
            </w:r>
          </w:p>
        </w:tc>
        <w:tc>
          <w:p/>
          <w:p>
            <w:pPr>
              <w:spacing w:after="0" w:before="0" w:lineRule="auto" w:line="276"/>
              <w:jc w:val="left"/>
            </w:pPr>
            <w:r>
              <w:rPr>
                <w:rFonts w:ascii="Times New Roman" w:hAnsi="Times New Roman" w:cs="Times New Roman" w:eastAsia="Times New Roman"/>
                <w:b w:val="false"/>
                <w:sz w:val="26"/>
              </w:rPr>
              <w:t>Mẫu số 02_84ND2020.docx</w:t>
            </w:r>
          </w:p>
          <w:p>
            <w:pPr>
              <w:spacing w:after="0" w:before="0" w:lineRule="auto" w:line="276"/>
              <w:jc w:val="left"/>
            </w:pPr>
            <w:r>
              <w:rPr>
                <w:rFonts w:ascii="Times New Roman" w:hAnsi="Times New Roman" w:cs="Times New Roman" w:eastAsia="Times New Roman"/>
                <w:b w:val="false"/>
                <w:sz w:val="26"/>
              </w:rPr>
              <w:t>Mẫu số 03_84ND2020.docx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giấy khai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giấy xác nhận khuyết tật do Ủy ban nhân dân xã, phường, thị trấn cấp đối với học viên là người khuyết tật.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Trường hợp học viên chưa có giấy xác nhận khuyết tật thì bổ sung bản sao được cấp từ sổ gốc, bản sao được chứng thực từ bản chính hoặc bản sao kèm theo bản chính để đối chiếu quyết định của Ủy ban nhân dân cấp huyện về việc trợ cấp xã hội đối với người khuyết tật.</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được cấp từ sổ gốc, bản sao được chứng thực từ bản chính hoặc bản sao kèm theo bản chính để đối chiếu thẻ thương binh đối với học viên là thương binh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Đối với sinh viên theo chế độ cử tuyển: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cam kết của sinh viên, có xác nhận của nhà trường nơi đang theo học (Theo Mẫu số 01 tại Phụ lục ban hành kèm theo Nghị định số 84/2020/NĐ-CP)</w:t>
            </w:r>
          </w:p>
        </w:tc>
        <w:tc>
          <w:p/>
          <w:p>
            <w:pPr>
              <w:spacing w:after="0" w:before="0" w:lineRule="auto" w:line="276"/>
              <w:jc w:val="left"/>
            </w:pPr>
            <w:r>
              <w:rPr>
                <w:rFonts w:ascii="Times New Roman" w:hAnsi="Times New Roman" w:cs="Times New Roman" w:eastAsia="Times New Roman"/>
                <w:b w:val="false"/>
                <w:sz w:val="26"/>
              </w:rPr>
              <w:t>Mẫu số 01_84ND2020.docx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 Sở Lao động Thương binh và Xã hội tỉnh Thái Bình, Sở Giáo dục và Đào tạo  - tỉnh Điện Biên, Phong Lao động –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thuộc Văn phòng Sở Nội Vụ (đối với sinh viên trường đại học, trường CĐSP); - Bộ phận Tiếp nhận và Trả kết quả thuộc Văn phòng Sở Lao động- Thương binh và Xã hội (đối với sinh viên trường cao đẳng trừ sinh viên trường cao đẳng sư phạm); -  Cơ sở giáo dục (đối với học sinh trường dự bị đại học, trường phổ thông dân tộc nội trú; học viên cơ sở giáo dục nghề nghiệp công lập dành cho thương binh, người khuyết tật); - Phòng Lao động - Thương binh và Xã hội (học viên cơ sở giáo dục nghề nghiệp tư thục dành cho thương binh, người khuyết tật).</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Học bổng chính sách được cấp cho người học nhận học bổng theo các hình thức: trực tiếp chuyển kinh phí cho cơ sở giáo dục, cấp tiền mặt trực tiếp hoặc chuyển qua tài khoản ngân hàng. Người học nhận học bổng chính sách hai lần trong năm học, mỗi lần cấp 6 tháng, lần thứ nhất cấp vào tháng 10, lần thứ hai cấp vào tháng 3</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152/2007/QĐ-TTg</w:t>
            </w:r>
          </w:p>
        </w:tc>
        <w:tc>
          <w:p/>
          <w:p>
            <w:pPr>
              <w:spacing w:after="0" w:before="0" w:lineRule="auto" w:line="276"/>
              <w:jc w:val="left"/>
            </w:pPr>
            <w:r>
              <w:rPr>
                <w:rFonts w:ascii="Times New Roman" w:hAnsi="Times New Roman" w:cs="Times New Roman" w:eastAsia="Times New Roman"/>
                <w:b w:val="false"/>
                <w:sz w:val="26"/>
              </w:rPr>
              <w:t>Về học bổng chính sách đối với học sinh, sinh viên học tại các cơ sở giáo dục thuộc hệ thống giáo dục quốc dân</w:t>
            </w:r>
          </w:p>
        </w:tc>
        <w:tc>
          <w:p/>
          <w:p>
            <w:pPr>
              <w:spacing w:after="0" w:before="0" w:lineRule="auto" w:line="276"/>
              <w:jc w:val="left"/>
            </w:pPr>
            <w:r>
              <w:rPr>
                <w:rFonts w:ascii="Times New Roman" w:hAnsi="Times New Roman" w:cs="Times New Roman" w:eastAsia="Times New Roman"/>
                <w:b w:val="false"/>
                <w:sz w:val="26"/>
              </w:rPr>
              <w:t>14-09-2007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23/2008/TTLT/BGDĐT-BLĐTBXH-BTC</w:t>
            </w:r>
          </w:p>
        </w:tc>
        <w:tc>
          <w:p/>
          <w:p>
            <w:pPr>
              <w:spacing w:after="0" w:before="0" w:lineRule="auto" w:line="276"/>
              <w:jc w:val="left"/>
            </w:pPr>
            <w:r>
              <w:rPr>
                <w:rFonts w:ascii="Times New Roman" w:hAnsi="Times New Roman" w:cs="Times New Roman" w:eastAsia="Times New Roman"/>
                <w:b w:val="false"/>
                <w:sz w:val="26"/>
              </w:rPr>
              <w:t>Hướng dẫn thực hiện Quyết định số 152/2007/QĐ-TTg ngày 14 tháng 9 năm 2007 của Thủ tướng Chính phủ về học bổng chính sách đối với học sinh, sinh viên học tại các cơ sở giáo dục thuộc hệ thống giáo dục quốc dân</w:t>
            </w:r>
          </w:p>
        </w:tc>
        <w:tc>
          <w:p/>
          <w:p>
            <w:pPr>
              <w:spacing w:after="0" w:before="0" w:lineRule="auto" w:line="276"/>
              <w:jc w:val="left"/>
            </w:pPr>
            <w:r>
              <w:rPr>
                <w:rFonts w:ascii="Times New Roman" w:hAnsi="Times New Roman" w:cs="Times New Roman" w:eastAsia="Times New Roman"/>
                <w:b w:val="false"/>
                <w:sz w:val="26"/>
              </w:rPr>
              <w:t>28-04-2008</w:t>
            </w:r>
          </w:p>
        </w:tc>
        <w:tc>
          <w:p/>
          <w:p>
            <w:pPr>
              <w:spacing w:after="0" w:before="0" w:lineRule="auto" w:line="276"/>
              <w:jc w:val="left"/>
            </w:pPr>
            <w:r>
              <w:rPr>
                <w:rFonts w:ascii="Times New Roman" w:hAnsi="Times New Roman" w:cs="Times New Roman" w:eastAsia="Times New Roman"/>
                <w:b w:val="false"/>
                <w:sz w:val="26"/>
              </w:rPr>
              <w:t>Bộ Giáo dục và Đào tạo</w:t>
            </w:r>
          </w:p>
        </w:tc>
      </w:tr>
      <w:tr>
        <w:tc>
          <w:p/>
          <w:p>
            <w:pPr>
              <w:spacing w:after="0" w:before="0" w:lineRule="auto" w:line="276"/>
              <w:jc w:val="left"/>
            </w:pPr>
            <w:r>
              <w:rPr>
                <w:rFonts w:ascii="Times New Roman" w:hAnsi="Times New Roman" w:cs="Times New Roman" w:eastAsia="Times New Roman"/>
                <w:b w:val="false"/>
                <w:sz w:val="26"/>
              </w:rPr>
              <w:t>14/2016/TTLT-BGDĐT-BLĐTBXH-BTC</w:t>
            </w:r>
          </w:p>
        </w:tc>
        <w:tc>
          <w:p/>
          <w:p>
            <w:pPr>
              <w:spacing w:after="0" w:before="0" w:lineRule="auto" w:line="276"/>
              <w:jc w:val="left"/>
            </w:pPr>
            <w:r>
              <w:rPr>
                <w:rFonts w:ascii="Times New Roman" w:hAnsi="Times New Roman" w:cs="Times New Roman" w:eastAsia="Times New Roman"/>
                <w:b w:val="false"/>
                <w:sz w:val="26"/>
              </w:rPr>
              <w:t>Sửa đổi, bổ sung mục III của Thông tư liên tịch số 23/2008/TTLT-BGDĐT-BLĐTBXH-BTC ngày 28/4/2008 của liên bộ Giáo dục và Đào tạo, Lao động–Thương binh và Xã hội, Tài chính hướng dẫn thực hiện Quyết định số 152/2007/QĐ-TTg ngày 14/9/2007 của Thủ tướng Chính phủ về học bổng chính sách đối với học sinh, sinh viên học tại các cơ sở giáo dục thuộc hệ thống giáo dục quốc dân</w:t>
            </w:r>
          </w:p>
        </w:tc>
        <w:tc>
          <w:p/>
          <w:p>
            <w:pPr>
              <w:spacing w:after="0" w:before="0" w:lineRule="auto" w:line="276"/>
              <w:jc w:val="left"/>
            </w:pPr>
            <w:r>
              <w:rPr>
                <w:rFonts w:ascii="Times New Roman" w:hAnsi="Times New Roman" w:cs="Times New Roman" w:eastAsia="Times New Roman"/>
                <w:b w:val="false"/>
                <w:sz w:val="26"/>
              </w:rPr>
              <w:t>05-05-2016</w:t>
            </w:r>
          </w:p>
        </w:tc>
        <w:tc>
          <w:p/>
          <w:p>
            <w:pPr>
              <w:spacing w:after="0" w:before="0" w:lineRule="auto" w:line="276"/>
              <w:jc w:val="left"/>
            </w:pPr>
            <w:r>
              <w:rPr>
                <w:rFonts w:ascii="Times New Roman" w:hAnsi="Times New Roman" w:cs="Times New Roman" w:eastAsia="Times New Roman"/>
                <w:b w:val="false"/>
                <w:sz w:val="26"/>
              </w:rPr>
              <w:t>Bộ Giáo dục và Đào tạo</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2023-05-19T08:07:39Z</dcterms:created>
  <dc:creator>Apache POI</dc:creator>
</cp:coreProperties>
</file>