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5839"/>
      </w:tblGrid>
      <w:tr w:rsidR="00B367B2" w:rsidRPr="00ED4C3E" w14:paraId="77943328" w14:textId="77777777" w:rsidTr="005D415A">
        <w:trPr>
          <w:trHeight w:val="1264"/>
        </w:trPr>
        <w:tc>
          <w:tcPr>
            <w:tcW w:w="3319" w:type="dxa"/>
            <w:tcBorders>
              <w:top w:val="nil"/>
              <w:left w:val="nil"/>
              <w:bottom w:val="nil"/>
              <w:right w:val="nil"/>
            </w:tcBorders>
            <w:shd w:val="clear" w:color="auto" w:fill="auto"/>
          </w:tcPr>
          <w:p w14:paraId="2160535B" w14:textId="4D611F26" w:rsidR="00B367B2" w:rsidRPr="00ED4C3E" w:rsidRDefault="00B367B2" w:rsidP="00165EAF">
            <w:pPr>
              <w:jc w:val="center"/>
              <w:rPr>
                <w:rFonts w:ascii="Times New Roman" w:hAnsi="Times New Roman" w:cs="Times New Roman"/>
                <w:b/>
                <w:sz w:val="26"/>
                <w:szCs w:val="28"/>
                <w:highlight w:val="white"/>
              </w:rPr>
            </w:pPr>
            <w:r w:rsidRPr="00ED4C3E">
              <w:rPr>
                <w:rFonts w:ascii="Times New Roman" w:hAnsi="Times New Roman" w:cs="Times New Roman"/>
                <w:b/>
                <w:sz w:val="26"/>
                <w:szCs w:val="28"/>
                <w:highlight w:val="white"/>
              </w:rPr>
              <w:t>HỘI ĐỒNG NHÂN DÂN</w:t>
            </w:r>
          </w:p>
          <w:p w14:paraId="076A9A29" w14:textId="42CD4D59" w:rsidR="00B367B2" w:rsidRPr="00ED4C3E" w:rsidRDefault="00B367B2" w:rsidP="00165EAF">
            <w:pPr>
              <w:jc w:val="center"/>
              <w:rPr>
                <w:rFonts w:ascii="Times New Roman" w:hAnsi="Times New Roman" w:cs="Times New Roman"/>
                <w:b/>
                <w:sz w:val="26"/>
                <w:szCs w:val="28"/>
                <w:highlight w:val="white"/>
              </w:rPr>
            </w:pPr>
            <w:r w:rsidRPr="00ED4C3E">
              <w:rPr>
                <w:rFonts w:ascii="Times New Roman" w:hAnsi="Times New Roman" w:cs="Times New Roman"/>
                <w:b/>
                <w:sz w:val="26"/>
                <w:szCs w:val="28"/>
                <w:highlight w:val="white"/>
              </w:rPr>
              <w:t>HUYỆN TUẦN GIÁO</w:t>
            </w:r>
          </w:p>
          <w:p w14:paraId="1FA8D10B" w14:textId="004BE88E" w:rsidR="00B367B2" w:rsidRPr="00ED4C3E" w:rsidRDefault="00B367B2" w:rsidP="00165EAF">
            <w:pPr>
              <w:spacing w:line="120" w:lineRule="auto"/>
              <w:jc w:val="center"/>
              <w:rPr>
                <w:rFonts w:ascii="Times New Roman" w:hAnsi="Times New Roman" w:cs="Times New Roman"/>
                <w:sz w:val="26"/>
                <w:szCs w:val="28"/>
                <w:highlight w:val="white"/>
              </w:rPr>
            </w:pPr>
            <w:r w:rsidRPr="00ED4C3E">
              <w:rPr>
                <w:rFonts w:ascii="Times New Roman" w:hAnsi="Times New Roman" w:cs="Times New Roman"/>
                <w:sz w:val="26"/>
                <w:szCs w:val="28"/>
                <w:highlight w:val="white"/>
              </w:rPr>
              <w:t>––––––––––</w:t>
            </w:r>
          </w:p>
          <w:p w14:paraId="2A6844AD" w14:textId="73B4BAAA" w:rsidR="00B367B2" w:rsidRPr="00ED4C3E" w:rsidRDefault="004F4E08" w:rsidP="00165EAF">
            <w:pPr>
              <w:spacing w:before="120" w:after="120"/>
              <w:jc w:val="center"/>
              <w:rPr>
                <w:rFonts w:ascii="Times New Roman" w:hAnsi="Times New Roman" w:cs="Times New Roman"/>
                <w:sz w:val="26"/>
                <w:szCs w:val="26"/>
                <w:highlight w:val="white"/>
              </w:rPr>
            </w:pPr>
            <w:r w:rsidRPr="00ED4C3E">
              <w:rPr>
                <w:rFonts w:ascii="Times New Roman" w:hAnsi="Times New Roman" w:cs="Times New Roman"/>
                <w:noProof/>
                <w:sz w:val="26"/>
                <w:szCs w:val="26"/>
                <w:highlight w:val="white"/>
              </w:rPr>
              <mc:AlternateContent>
                <mc:Choice Requires="wps">
                  <w:drawing>
                    <wp:anchor distT="0" distB="0" distL="114300" distR="114300" simplePos="0" relativeHeight="251660288" behindDoc="0" locked="0" layoutInCell="1" allowOverlap="1" wp14:anchorId="5ED04F04" wp14:editId="3EFB0AC5">
                      <wp:simplePos x="0" y="0"/>
                      <wp:positionH relativeFrom="column">
                        <wp:posOffset>363855</wp:posOffset>
                      </wp:positionH>
                      <wp:positionV relativeFrom="paragraph">
                        <wp:posOffset>360680</wp:posOffset>
                      </wp:positionV>
                      <wp:extent cx="1104900" cy="314325"/>
                      <wp:effectExtent l="0" t="0" r="19050" b="28575"/>
                      <wp:wrapNone/>
                      <wp:docPr id="773000376" name="Text Box 2"/>
                      <wp:cNvGraphicFramePr/>
                      <a:graphic xmlns:a="http://schemas.openxmlformats.org/drawingml/2006/main">
                        <a:graphicData uri="http://schemas.microsoft.com/office/word/2010/wordprocessingShape">
                          <wps:wsp>
                            <wps:cNvSpPr txBox="1"/>
                            <wps:spPr>
                              <a:xfrm>
                                <a:off x="0" y="0"/>
                                <a:ext cx="1104900" cy="314325"/>
                              </a:xfrm>
                              <a:prstGeom prst="rect">
                                <a:avLst/>
                              </a:prstGeom>
                              <a:solidFill>
                                <a:schemeClr val="lt1"/>
                              </a:solidFill>
                              <a:ln w="6350">
                                <a:solidFill>
                                  <a:prstClr val="black"/>
                                </a:solidFill>
                              </a:ln>
                            </wps:spPr>
                            <wps:txbx>
                              <w:txbxContent>
                                <w:p w14:paraId="7C0CD1C5" w14:textId="114BE304" w:rsidR="00FF3AB1" w:rsidRPr="00FF3AB1" w:rsidRDefault="00FF3AB1">
                                  <w:pPr>
                                    <w:rPr>
                                      <w:rFonts w:ascii="Times New Roman" w:hAnsi="Times New Roman" w:cs="Times New Roman"/>
                                      <w:b/>
                                      <w:bCs/>
                                      <w:sz w:val="28"/>
                                      <w:szCs w:val="28"/>
                                      <w:lang w:val="en-US"/>
                                    </w:rPr>
                                  </w:pPr>
                                  <w:r w:rsidRPr="00FF3AB1">
                                    <w:rPr>
                                      <w:rFonts w:ascii="Times New Roman" w:hAnsi="Times New Roman" w:cs="Times New Roman"/>
                                      <w:b/>
                                      <w:bCs/>
                                      <w:sz w:val="28"/>
                                      <w:szCs w:val="28"/>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04F04" id="_x0000_t202" coordsize="21600,21600" o:spt="202" path="m,l,21600r21600,l21600,xe">
                      <v:stroke joinstyle="miter"/>
                      <v:path gradientshapeok="t" o:connecttype="rect"/>
                    </v:shapetype>
                    <v:shape id="Text Box 2" o:spid="_x0000_s1026" type="#_x0000_t202" style="position:absolute;left:0;text-align:left;margin-left:28.65pt;margin-top:28.4pt;width:8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G+NwIAAHw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" fillcolor="white [3201]" strokeweight=".5pt">
                      <v:textbox>
                        <w:txbxContent>
                          <w:p w14:paraId="7C0CD1C5" w14:textId="114BE304" w:rsidR="00FF3AB1" w:rsidRPr="00FF3AB1" w:rsidRDefault="00FF3AB1">
                            <w:pPr>
                              <w:rPr>
                                <w:rFonts w:ascii="Times New Roman" w:hAnsi="Times New Roman" w:cs="Times New Roman"/>
                                <w:b/>
                                <w:bCs/>
                                <w:sz w:val="28"/>
                                <w:szCs w:val="28"/>
                                <w:lang w:val="en-US"/>
                              </w:rPr>
                            </w:pPr>
                            <w:r w:rsidRPr="00FF3AB1">
                              <w:rPr>
                                <w:rFonts w:ascii="Times New Roman" w:hAnsi="Times New Roman" w:cs="Times New Roman"/>
                                <w:b/>
                                <w:bCs/>
                                <w:sz w:val="28"/>
                                <w:szCs w:val="28"/>
                                <w:lang w:val="en-US"/>
                              </w:rPr>
                              <w:t>DỰ THẢO</w:t>
                            </w:r>
                          </w:p>
                        </w:txbxContent>
                      </v:textbox>
                    </v:shape>
                  </w:pict>
                </mc:Fallback>
              </mc:AlternateContent>
            </w:r>
            <w:r w:rsidR="00B367B2" w:rsidRPr="00ED4C3E">
              <w:rPr>
                <w:rFonts w:ascii="Times New Roman" w:hAnsi="Times New Roman" w:cs="Times New Roman"/>
                <w:sz w:val="26"/>
                <w:szCs w:val="26"/>
                <w:highlight w:val="white"/>
              </w:rPr>
              <w:t>Số:           /NQ-HĐND</w:t>
            </w:r>
          </w:p>
        </w:tc>
        <w:tc>
          <w:tcPr>
            <w:tcW w:w="5839" w:type="dxa"/>
            <w:tcBorders>
              <w:top w:val="nil"/>
              <w:left w:val="nil"/>
              <w:bottom w:val="nil"/>
              <w:right w:val="nil"/>
            </w:tcBorders>
            <w:shd w:val="clear" w:color="auto" w:fill="auto"/>
          </w:tcPr>
          <w:p w14:paraId="7D1F64BB" w14:textId="77777777" w:rsidR="00B367B2" w:rsidRPr="00ED4C3E" w:rsidRDefault="00B367B2" w:rsidP="00165EAF">
            <w:pPr>
              <w:jc w:val="center"/>
              <w:rPr>
                <w:rFonts w:ascii="Times New Roman" w:hAnsi="Times New Roman" w:cs="Times New Roman"/>
                <w:b/>
                <w:sz w:val="26"/>
                <w:szCs w:val="28"/>
                <w:highlight w:val="white"/>
              </w:rPr>
            </w:pPr>
            <w:r w:rsidRPr="00ED4C3E">
              <w:rPr>
                <w:rFonts w:ascii="Times New Roman" w:hAnsi="Times New Roman" w:cs="Times New Roman"/>
                <w:b/>
                <w:sz w:val="26"/>
                <w:szCs w:val="28"/>
                <w:highlight w:val="white"/>
              </w:rPr>
              <w:t>CỘNG HÒA XÃ HỘI CHỦ NGHĨA VIỆT NAM</w:t>
            </w:r>
          </w:p>
          <w:p w14:paraId="38684981" w14:textId="77777777" w:rsidR="00B367B2" w:rsidRPr="00ED4C3E" w:rsidRDefault="00B367B2" w:rsidP="00165EAF">
            <w:pPr>
              <w:jc w:val="center"/>
              <w:rPr>
                <w:rFonts w:ascii="Times New Roman" w:hAnsi="Times New Roman" w:cs="Times New Roman"/>
                <w:b/>
                <w:sz w:val="28"/>
                <w:highlight w:val="white"/>
              </w:rPr>
            </w:pPr>
            <w:r w:rsidRPr="00ED4C3E">
              <w:rPr>
                <w:rFonts w:ascii="Times New Roman" w:hAnsi="Times New Roman" w:cs="Times New Roman"/>
                <w:b/>
                <w:sz w:val="28"/>
                <w:highlight w:val="white"/>
              </w:rPr>
              <w:t>Độc lập - Tự do - Hạnh phúc</w:t>
            </w:r>
          </w:p>
          <w:p w14:paraId="13D89F2D" w14:textId="77777777" w:rsidR="00B367B2" w:rsidRPr="00ED4C3E" w:rsidRDefault="00B367B2" w:rsidP="00165EAF">
            <w:pPr>
              <w:spacing w:line="120" w:lineRule="auto"/>
              <w:jc w:val="center"/>
              <w:rPr>
                <w:rFonts w:ascii="Times New Roman" w:hAnsi="Times New Roman" w:cs="Times New Roman"/>
                <w:sz w:val="28"/>
                <w:highlight w:val="white"/>
              </w:rPr>
            </w:pPr>
            <w:r w:rsidRPr="00ED4C3E">
              <w:rPr>
                <w:rFonts w:ascii="Times New Roman" w:hAnsi="Times New Roman" w:cs="Times New Roman"/>
                <w:sz w:val="28"/>
                <w:highlight w:val="white"/>
              </w:rPr>
              <w:t>–––––––––––––––––––––––––</w:t>
            </w:r>
            <w:r w:rsidRPr="00ED4C3E">
              <w:rPr>
                <w:rFonts w:ascii="Times New Roman" w:hAnsi="Times New Roman" w:cs="Times New Roman"/>
                <w:i/>
                <w:sz w:val="28"/>
                <w:highlight w:val="white"/>
              </w:rPr>
              <w:t xml:space="preserve">         </w:t>
            </w:r>
          </w:p>
          <w:p w14:paraId="785F357F" w14:textId="681D866F" w:rsidR="00B367B2" w:rsidRPr="00ED4C3E" w:rsidRDefault="00B367B2" w:rsidP="00165EAF">
            <w:pPr>
              <w:spacing w:before="120" w:after="120"/>
              <w:jc w:val="center"/>
              <w:rPr>
                <w:rFonts w:ascii="Times New Roman" w:hAnsi="Times New Roman" w:cs="Times New Roman"/>
                <w:i/>
                <w:sz w:val="28"/>
                <w:highlight w:val="white"/>
              </w:rPr>
            </w:pPr>
            <w:r w:rsidRPr="00ED4C3E">
              <w:rPr>
                <w:rFonts w:ascii="Times New Roman" w:hAnsi="Times New Roman" w:cs="Times New Roman"/>
                <w:i/>
                <w:sz w:val="28"/>
                <w:highlight w:val="white"/>
              </w:rPr>
              <w:t xml:space="preserve">   Tuần Giáo, ngày </w:t>
            </w:r>
            <w:r w:rsidR="00FF3AB1" w:rsidRPr="00ED4C3E">
              <w:rPr>
                <w:rFonts w:ascii="Times New Roman" w:hAnsi="Times New Roman" w:cs="Times New Roman"/>
                <w:i/>
                <w:sz w:val="28"/>
                <w:highlight w:val="white"/>
              </w:rPr>
              <w:t>18</w:t>
            </w:r>
            <w:r w:rsidRPr="00ED4C3E">
              <w:rPr>
                <w:rFonts w:ascii="Times New Roman" w:hAnsi="Times New Roman" w:cs="Times New Roman"/>
                <w:i/>
                <w:sz w:val="28"/>
                <w:highlight w:val="white"/>
              </w:rPr>
              <w:t xml:space="preserve"> tháng 12 năm 202</w:t>
            </w:r>
            <w:r w:rsidR="00FF3AB1" w:rsidRPr="00ED4C3E">
              <w:rPr>
                <w:rFonts w:ascii="Times New Roman" w:hAnsi="Times New Roman" w:cs="Times New Roman"/>
                <w:i/>
                <w:sz w:val="28"/>
                <w:highlight w:val="white"/>
              </w:rPr>
              <w:t>4</w:t>
            </w:r>
          </w:p>
        </w:tc>
      </w:tr>
    </w:tbl>
    <w:p w14:paraId="1AD1957D" w14:textId="464C2F05" w:rsidR="00B367B2" w:rsidRPr="00ED4C3E" w:rsidRDefault="00B367B2" w:rsidP="005C2B26">
      <w:pPr>
        <w:spacing w:before="360"/>
        <w:jc w:val="center"/>
        <w:rPr>
          <w:rFonts w:ascii="Times New Roman" w:hAnsi="Times New Roman" w:cs="Times New Roman"/>
          <w:b/>
          <w:iCs/>
          <w:sz w:val="28"/>
          <w:szCs w:val="32"/>
          <w:highlight w:val="white"/>
          <w:lang w:val="pt-BR"/>
        </w:rPr>
      </w:pPr>
      <w:r w:rsidRPr="00ED4C3E">
        <w:rPr>
          <w:rFonts w:ascii="Times New Roman" w:hAnsi="Times New Roman" w:cs="Times New Roman"/>
          <w:b/>
          <w:iCs/>
          <w:sz w:val="28"/>
          <w:szCs w:val="32"/>
          <w:highlight w:val="white"/>
          <w:lang w:val="pt-BR"/>
        </w:rPr>
        <w:t>NGHỊ QUYẾT</w:t>
      </w:r>
    </w:p>
    <w:p w14:paraId="73F548BB" w14:textId="6593A6B0" w:rsidR="00555065" w:rsidRPr="00ED4C3E" w:rsidRDefault="002E50BF">
      <w:pPr>
        <w:pStyle w:val="Vnbnnidung0"/>
        <w:spacing w:after="280"/>
        <w:ind w:firstLine="0"/>
        <w:jc w:val="center"/>
        <w:rPr>
          <w:highlight w:val="white"/>
        </w:rPr>
      </w:pPr>
      <w:r w:rsidRPr="00ED4C3E">
        <w:rPr>
          <w:b/>
          <w:bCs/>
          <w:i w:val="0"/>
          <w:iCs w:val="0"/>
          <w:noProof/>
          <w:highlight w:val="white"/>
          <w:lang w:val="pt-BR"/>
        </w:rPr>
        <mc:AlternateContent>
          <mc:Choice Requires="wps">
            <w:drawing>
              <wp:anchor distT="0" distB="0" distL="114300" distR="114300" simplePos="0" relativeHeight="251659264" behindDoc="0" locked="0" layoutInCell="1" allowOverlap="1" wp14:anchorId="146A3DEC" wp14:editId="21A82D7A">
                <wp:simplePos x="0" y="0"/>
                <wp:positionH relativeFrom="column">
                  <wp:posOffset>2158364</wp:posOffset>
                </wp:positionH>
                <wp:positionV relativeFrom="paragraph">
                  <wp:posOffset>244475</wp:posOffset>
                </wp:positionV>
                <wp:extent cx="1704975" cy="0"/>
                <wp:effectExtent l="0" t="0" r="0" b="0"/>
                <wp:wrapNone/>
                <wp:docPr id="1456683992" name="Straight Connector 1"/>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E436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95pt,19.25pt" to="304.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U7mQEAAIgDAAAOAAAAZHJzL2Uyb0RvYy54bWysU9uO0zAQfUfiHyy/06QrYCF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" strokecolor="black [3200]" strokeweight=".5pt">
                <v:stroke joinstyle="miter"/>
              </v:line>
            </w:pict>
          </mc:Fallback>
        </mc:AlternateContent>
      </w:r>
      <w:r w:rsidR="00D82F23" w:rsidRPr="00ED4C3E">
        <w:rPr>
          <w:b/>
          <w:bCs/>
          <w:i w:val="0"/>
          <w:iCs w:val="0"/>
          <w:highlight w:val="white"/>
          <w:lang w:val="pt-BR"/>
        </w:rPr>
        <w:t>V</w:t>
      </w:r>
      <w:r w:rsidRPr="00ED4C3E">
        <w:rPr>
          <w:b/>
          <w:bCs/>
          <w:i w:val="0"/>
          <w:iCs w:val="0"/>
          <w:highlight w:val="white"/>
        </w:rPr>
        <w:t>ề dự toán kinh phí hoạt động của Hội đồng nhân dân huyện năm 202</w:t>
      </w:r>
      <w:r w:rsidR="00627212" w:rsidRPr="00ED4C3E">
        <w:rPr>
          <w:b/>
          <w:bCs/>
          <w:i w:val="0"/>
          <w:iCs w:val="0"/>
          <w:highlight w:val="white"/>
        </w:rPr>
        <w:t>5</w:t>
      </w:r>
    </w:p>
    <w:p w14:paraId="620DFFCC" w14:textId="77777777" w:rsidR="005D415A" w:rsidRPr="00ED4C3E" w:rsidRDefault="005D415A" w:rsidP="00ED4C3E">
      <w:pPr>
        <w:pStyle w:val="Vnbnnidung0"/>
        <w:spacing w:before="360" w:after="0"/>
        <w:ind w:firstLine="743"/>
        <w:jc w:val="center"/>
        <w:rPr>
          <w:b/>
          <w:bCs/>
          <w:i w:val="0"/>
          <w:iCs w:val="0"/>
          <w:highlight w:val="white"/>
        </w:rPr>
      </w:pPr>
      <w:r w:rsidRPr="00ED4C3E">
        <w:rPr>
          <w:b/>
          <w:bCs/>
          <w:i w:val="0"/>
          <w:iCs w:val="0"/>
          <w:highlight w:val="white"/>
        </w:rPr>
        <w:t>HỘI ĐỒNG NHÂN DÂN HUYỆN TUẦN GIÁO</w:t>
      </w:r>
    </w:p>
    <w:p w14:paraId="34786D24" w14:textId="544E7567" w:rsidR="005D415A" w:rsidRPr="00ED4C3E" w:rsidRDefault="005D415A" w:rsidP="005D415A">
      <w:pPr>
        <w:pStyle w:val="Vnbnnidung0"/>
        <w:spacing w:after="0"/>
        <w:ind w:firstLine="743"/>
        <w:jc w:val="center"/>
        <w:rPr>
          <w:b/>
          <w:bCs/>
          <w:i w:val="0"/>
          <w:iCs w:val="0"/>
          <w:highlight w:val="white"/>
        </w:rPr>
      </w:pPr>
      <w:r w:rsidRPr="00ED4C3E">
        <w:rPr>
          <w:b/>
          <w:bCs/>
          <w:i w:val="0"/>
          <w:iCs w:val="0"/>
          <w:highlight w:val="white"/>
        </w:rPr>
        <w:t xml:space="preserve">KHOÁ XXI, KỲ HỌP THỨ </w:t>
      </w:r>
      <w:r w:rsidR="004F4E08" w:rsidRPr="00ED4C3E">
        <w:rPr>
          <w:b/>
          <w:bCs/>
          <w:i w:val="0"/>
          <w:iCs w:val="0"/>
          <w:highlight w:val="white"/>
        </w:rPr>
        <w:t>MƯỜI HAI</w:t>
      </w:r>
    </w:p>
    <w:p w14:paraId="0C338370" w14:textId="77777777" w:rsidR="005C2B26" w:rsidRPr="00ED4C3E" w:rsidRDefault="005C2B26" w:rsidP="00ED4C3E">
      <w:pPr>
        <w:widowControl/>
        <w:spacing w:before="360" w:after="120"/>
        <w:ind w:firstLine="567"/>
        <w:jc w:val="both"/>
        <w:rPr>
          <w:rFonts w:ascii="Times New Roman" w:eastAsia="Times New Roman" w:hAnsi="Times New Roman" w:cs="Times New Roman"/>
          <w:i/>
          <w:iCs/>
          <w:color w:val="auto"/>
          <w:sz w:val="28"/>
          <w:szCs w:val="28"/>
          <w:highlight w:val="white"/>
          <w:lang w:eastAsia="en-US" w:bidi="ar-SA"/>
        </w:rPr>
      </w:pPr>
      <w:r w:rsidRPr="00ED4C3E">
        <w:rPr>
          <w:rFonts w:ascii="Times New Roman" w:eastAsia="Times New Roman" w:hAnsi="Times New Roman" w:cs="Times New Roman"/>
          <w:i/>
          <w:iCs/>
          <w:color w:val="auto"/>
          <w:sz w:val="28"/>
          <w:szCs w:val="28"/>
          <w:highlight w:val="white"/>
          <w:lang w:eastAsia="en-US" w:bidi="ar-SA"/>
        </w:rPr>
        <w:t xml:space="preserve">Căn cứ Luật Tổ chức chính quyền địa phương ngày 19 tháng 6 năm 2015; Luật Sửa đổi bổ sung một sổ điều của Luật Tổ chức Chính phủ và Luật Tổ chức chính quyển địa phương ngày 22 tháng 11 năm 2019; </w:t>
      </w:r>
    </w:p>
    <w:p w14:paraId="2F46077A" w14:textId="77777777" w:rsidR="005C2B26" w:rsidRPr="00ED4C3E" w:rsidRDefault="005C2B26" w:rsidP="005C2B26">
      <w:pPr>
        <w:widowControl/>
        <w:spacing w:before="120" w:after="120"/>
        <w:ind w:firstLine="567"/>
        <w:jc w:val="both"/>
        <w:rPr>
          <w:rFonts w:ascii="Times New Roman" w:eastAsia="Times New Roman" w:hAnsi="Times New Roman" w:cs="Times New Roman"/>
          <w:i/>
          <w:iCs/>
          <w:color w:val="auto"/>
          <w:sz w:val="28"/>
          <w:szCs w:val="28"/>
          <w:highlight w:val="white"/>
          <w:lang w:eastAsia="en-US" w:bidi="ar-SA"/>
        </w:rPr>
      </w:pPr>
      <w:r w:rsidRPr="00ED4C3E">
        <w:rPr>
          <w:rFonts w:ascii="Times New Roman" w:eastAsia="Times New Roman" w:hAnsi="Times New Roman" w:cs="Times New Roman"/>
          <w:i/>
          <w:iCs/>
          <w:color w:val="auto"/>
          <w:sz w:val="28"/>
          <w:szCs w:val="28"/>
          <w:highlight w:val="white"/>
          <w:lang w:eastAsia="en-US" w:bidi="ar-SA"/>
        </w:rPr>
        <w:t xml:space="preserve">Căn cứ Luật Ngân sách nhà nước ngày 25 tháng 6 năm 2005; </w:t>
      </w:r>
    </w:p>
    <w:p w14:paraId="2C99981B" w14:textId="77777777" w:rsidR="005C2B26" w:rsidRPr="00ED4C3E" w:rsidRDefault="005C2B26" w:rsidP="005C2B26">
      <w:pPr>
        <w:widowControl/>
        <w:spacing w:before="120" w:after="120"/>
        <w:ind w:firstLine="567"/>
        <w:jc w:val="both"/>
        <w:rPr>
          <w:rFonts w:ascii="Times New Roman" w:eastAsia="Times New Roman" w:hAnsi="Times New Roman" w:cs="Times New Roman"/>
          <w:i/>
          <w:iCs/>
          <w:color w:val="auto"/>
          <w:sz w:val="28"/>
          <w:szCs w:val="28"/>
          <w:highlight w:val="white"/>
          <w:lang w:eastAsia="en-US" w:bidi="ar-SA"/>
        </w:rPr>
      </w:pPr>
      <w:r w:rsidRPr="00ED4C3E">
        <w:rPr>
          <w:rFonts w:ascii="Times New Roman" w:eastAsia="Times New Roman" w:hAnsi="Times New Roman" w:cs="Times New Roman"/>
          <w:i/>
          <w:iCs/>
          <w:color w:val="auto"/>
          <w:sz w:val="28"/>
          <w:szCs w:val="28"/>
          <w:highlight w:val="white"/>
          <w:lang w:eastAsia="en-US" w:bidi="ar-SA"/>
        </w:rPr>
        <w:t xml:space="preserve">Căn cứ Nghị quyết số 1206/2016/NQ-UBTVQH13, ngày 13 tháng 5 năm 2016 của Ủy ban Thường vụ Quốc hội quy định về chế độ chi, chính sách và các điều kiện đảm bảo hoạt động của đại biểu Hội đồng nhân dân; </w:t>
      </w:r>
    </w:p>
    <w:p w14:paraId="1B6D13E9" w14:textId="77777777" w:rsidR="005C2B26" w:rsidRPr="00ED4C3E" w:rsidRDefault="005C2B26" w:rsidP="005C2B26">
      <w:pPr>
        <w:widowControl/>
        <w:spacing w:before="120" w:after="120"/>
        <w:ind w:firstLine="567"/>
        <w:jc w:val="both"/>
        <w:rPr>
          <w:rFonts w:ascii="Times New Roman" w:eastAsia="Times New Roman" w:hAnsi="Times New Roman" w:cs="Times New Roman"/>
          <w:i/>
          <w:iCs/>
          <w:color w:val="auto"/>
          <w:sz w:val="28"/>
          <w:szCs w:val="28"/>
          <w:highlight w:val="white"/>
          <w:lang w:eastAsia="en-US" w:bidi="ar-SA"/>
        </w:rPr>
      </w:pPr>
      <w:r w:rsidRPr="00ED4C3E">
        <w:rPr>
          <w:rFonts w:ascii="Times New Roman" w:eastAsia="Times New Roman" w:hAnsi="Times New Roman" w:cs="Times New Roman"/>
          <w:i/>
          <w:iCs/>
          <w:color w:val="auto"/>
          <w:sz w:val="28"/>
          <w:szCs w:val="28"/>
          <w:highlight w:val="white"/>
          <w:lang w:eastAsia="en-US" w:bidi="ar-SA"/>
        </w:rPr>
        <w:t xml:space="preserve">Căn cứ Nghị định số 163/2016/NĐ-CP ngày 21 tháng 12 năm 2016 của Chính phủ quy định chi tiết và hướng dẫn thi hành Luật Ngán sách nhà nước; </w:t>
      </w:r>
    </w:p>
    <w:p w14:paraId="42A18BCA" w14:textId="77777777" w:rsidR="005C2B26" w:rsidRPr="00ED4C3E" w:rsidRDefault="005C2B26" w:rsidP="005C2B26">
      <w:pPr>
        <w:widowControl/>
        <w:spacing w:before="120" w:after="120"/>
        <w:ind w:firstLine="567"/>
        <w:jc w:val="both"/>
        <w:rPr>
          <w:rFonts w:ascii="Times New Roman" w:eastAsia="Times New Roman" w:hAnsi="Times New Roman" w:cs="Times New Roman"/>
          <w:i/>
          <w:iCs/>
          <w:color w:val="auto"/>
          <w:spacing w:val="-6"/>
          <w:sz w:val="28"/>
          <w:szCs w:val="28"/>
          <w:highlight w:val="white"/>
          <w:lang w:eastAsia="en-US" w:bidi="ar-SA"/>
        </w:rPr>
      </w:pPr>
      <w:r w:rsidRPr="00ED4C3E">
        <w:rPr>
          <w:rFonts w:ascii="Times New Roman" w:eastAsia="Times New Roman" w:hAnsi="Times New Roman" w:cs="Times New Roman"/>
          <w:i/>
          <w:iCs/>
          <w:color w:val="auto"/>
          <w:spacing w:val="-6"/>
          <w:sz w:val="28"/>
          <w:szCs w:val="28"/>
          <w:highlight w:val="white"/>
          <w:lang w:eastAsia="en-US" w:bidi="ar-SA"/>
        </w:rPr>
        <w:t xml:space="preserve">Căn cứ Thông tư 342/2016/TT-BTC ngày 30 tháng 12 năm. 2016 của Bộ Tài chính quy định chỉ tiết và hướng dẫn thi hành một số điều Nghị định 163/2016/NĐ CP của Chính phủ quy định chi tiết thi hành một số điều của Luật Ngân sách nhà nước; </w:t>
      </w:r>
    </w:p>
    <w:p w14:paraId="4A7C9C6C" w14:textId="77777777" w:rsidR="005C2B26" w:rsidRPr="00ED4C3E" w:rsidRDefault="005C2B26" w:rsidP="005C2B26">
      <w:pPr>
        <w:widowControl/>
        <w:spacing w:before="120" w:after="120"/>
        <w:ind w:firstLine="567"/>
        <w:jc w:val="both"/>
        <w:rPr>
          <w:rFonts w:ascii="Times New Roman" w:eastAsia="Times New Roman" w:hAnsi="Times New Roman" w:cs="Times New Roman"/>
          <w:i/>
          <w:iCs/>
          <w:color w:val="auto"/>
          <w:sz w:val="28"/>
          <w:szCs w:val="28"/>
          <w:highlight w:val="white"/>
          <w:lang w:eastAsia="en-US" w:bidi="ar-SA"/>
        </w:rPr>
      </w:pPr>
      <w:r w:rsidRPr="00ED4C3E">
        <w:rPr>
          <w:rFonts w:ascii="Times New Roman" w:eastAsia="Times New Roman" w:hAnsi="Times New Roman" w:cs="Times New Roman"/>
          <w:i/>
          <w:iCs/>
          <w:color w:val="auto"/>
          <w:sz w:val="28"/>
          <w:szCs w:val="28"/>
          <w:highlight w:val="white"/>
          <w:lang w:eastAsia="en-US" w:bidi="ar-SA"/>
        </w:rPr>
        <w:t xml:space="preserve">Căn cứ Nghị quyết số 18/2022/NQ-HĐND, ngày 09 tháng 12 năm 2022 của HĐND tỉnh Điện Biên về Quy định chế độ, chính sách, mức chi bảo đảm hoạt động của Hội đồng nhân dân các cấp tỉnh Điện Biên; </w:t>
      </w:r>
    </w:p>
    <w:p w14:paraId="43B284FE" w14:textId="33A07C6F" w:rsidR="00471AE7" w:rsidRPr="00ED4C3E" w:rsidRDefault="00471AE7" w:rsidP="005C2B26">
      <w:pPr>
        <w:widowControl/>
        <w:spacing w:before="120" w:after="120"/>
        <w:ind w:firstLine="567"/>
        <w:jc w:val="both"/>
        <w:rPr>
          <w:rFonts w:ascii="Times New Roman" w:eastAsia="Times New Roman" w:hAnsi="Times New Roman" w:cs="Times New Roman"/>
          <w:i/>
          <w:iCs/>
          <w:color w:val="auto"/>
          <w:sz w:val="28"/>
          <w:szCs w:val="28"/>
          <w:highlight w:val="white"/>
          <w:lang w:eastAsia="en-US" w:bidi="ar-SA"/>
        </w:rPr>
      </w:pPr>
      <w:r w:rsidRPr="00ED4C3E">
        <w:rPr>
          <w:rFonts w:ascii="Times New Roman" w:eastAsia="Times New Roman" w:hAnsi="Times New Roman" w:cs="Times New Roman"/>
          <w:i/>
          <w:iCs/>
          <w:color w:val="auto"/>
          <w:sz w:val="28"/>
          <w:szCs w:val="28"/>
          <w:highlight w:val="white"/>
          <w:lang w:eastAsia="en-US" w:bidi="ar-SA"/>
        </w:rPr>
        <w:t xml:space="preserve">Căn cứ Nghị quyết số 83/NQ-HĐND ngày 17 tháng 12 năm 2021 của Hội đồng nhân dân huyện về Ban hành Quy chế hoạt động của Hội đồng nhân dân </w:t>
      </w:r>
      <w:r w:rsidRPr="00ED4C3E">
        <w:rPr>
          <w:rFonts w:ascii="Times New Roman" w:eastAsia="Times New Roman" w:hAnsi="Times New Roman" w:cs="Times New Roman"/>
          <w:i/>
          <w:iCs/>
          <w:sz w:val="28"/>
          <w:szCs w:val="28"/>
          <w:highlight w:val="white"/>
          <w:u w:color="FF0000"/>
          <w:lang w:eastAsia="en-US" w:bidi="ar-SA"/>
        </w:rPr>
        <w:t>huyện</w:t>
      </w:r>
      <w:r w:rsidR="00141689" w:rsidRPr="00ED4C3E">
        <w:rPr>
          <w:rFonts w:ascii="Times New Roman" w:eastAsia="Times New Roman" w:hAnsi="Times New Roman" w:cs="Times New Roman"/>
          <w:i/>
          <w:iCs/>
          <w:sz w:val="28"/>
          <w:szCs w:val="28"/>
          <w:highlight w:val="white"/>
          <w:u w:color="FF0000"/>
          <w:lang w:eastAsia="en-US" w:bidi="ar-SA"/>
        </w:rPr>
        <w:t xml:space="preserve"> </w:t>
      </w:r>
      <w:r w:rsidRPr="00ED4C3E">
        <w:rPr>
          <w:rFonts w:ascii="Times New Roman" w:eastAsia="Times New Roman" w:hAnsi="Times New Roman" w:cs="Times New Roman"/>
          <w:i/>
          <w:iCs/>
          <w:sz w:val="28"/>
          <w:szCs w:val="28"/>
          <w:highlight w:val="white"/>
          <w:u w:color="FF0000"/>
          <w:lang w:eastAsia="en-US" w:bidi="ar-SA"/>
        </w:rPr>
        <w:t>Tuần</w:t>
      </w:r>
      <w:r w:rsidRPr="00ED4C3E">
        <w:rPr>
          <w:rFonts w:ascii="Times New Roman" w:eastAsia="Times New Roman" w:hAnsi="Times New Roman" w:cs="Times New Roman"/>
          <w:i/>
          <w:iCs/>
          <w:color w:val="auto"/>
          <w:sz w:val="28"/>
          <w:szCs w:val="28"/>
          <w:highlight w:val="white"/>
          <w:lang w:eastAsia="en-US" w:bidi="ar-SA"/>
        </w:rPr>
        <w:t xml:space="preserve"> Giáo khóa XXI, nhiệm kỳ 2021 – 2026; </w:t>
      </w:r>
    </w:p>
    <w:p w14:paraId="17B12963" w14:textId="06EC6674" w:rsidR="00555065" w:rsidRPr="00ED4C3E" w:rsidRDefault="00000000" w:rsidP="005D415A">
      <w:pPr>
        <w:pStyle w:val="Vnbnnidung0"/>
        <w:spacing w:before="120"/>
        <w:ind w:firstLine="740"/>
        <w:jc w:val="both"/>
        <w:rPr>
          <w:highlight w:val="white"/>
        </w:rPr>
      </w:pPr>
      <w:r w:rsidRPr="00ED4C3E">
        <w:rPr>
          <w:highlight w:val="white"/>
        </w:rPr>
        <w:t xml:space="preserve">Xét Tờ trình số </w:t>
      </w:r>
      <w:r w:rsidR="004F4E08" w:rsidRPr="00ED4C3E">
        <w:rPr>
          <w:highlight w:val="white"/>
        </w:rPr>
        <w:t xml:space="preserve">    </w:t>
      </w:r>
      <w:r w:rsidRPr="00ED4C3E">
        <w:rPr>
          <w:highlight w:val="white"/>
        </w:rPr>
        <w:t>/TTr-HĐND, ngày 09/12/202</w:t>
      </w:r>
      <w:r w:rsidR="004F4E08" w:rsidRPr="00ED4C3E">
        <w:rPr>
          <w:highlight w:val="white"/>
        </w:rPr>
        <w:t>4</w:t>
      </w:r>
      <w:r w:rsidRPr="00ED4C3E">
        <w:rPr>
          <w:highlight w:val="white"/>
        </w:rPr>
        <w:t xml:space="preserve"> của Thường trực HĐND huyện về Dự toán kinh phí hoạt động của HĐND huyện năm 202</w:t>
      </w:r>
      <w:r w:rsidR="004F4E08" w:rsidRPr="00ED4C3E">
        <w:rPr>
          <w:highlight w:val="white"/>
        </w:rPr>
        <w:t>5</w:t>
      </w:r>
      <w:r w:rsidRPr="00ED4C3E">
        <w:rPr>
          <w:highlight w:val="white"/>
        </w:rPr>
        <w:t xml:space="preserve">; </w:t>
      </w:r>
      <w:r w:rsidRPr="00ED4C3E">
        <w:rPr>
          <w:highlight w:val="white"/>
          <w:u w:color="FF0000"/>
        </w:rPr>
        <w:t>ý</w:t>
      </w:r>
      <w:r w:rsidRPr="00ED4C3E">
        <w:rPr>
          <w:highlight w:val="white"/>
        </w:rPr>
        <w:t xml:space="preserve"> kiến thảo luận của đại biểu HĐND tại kỳ họp.</w:t>
      </w:r>
    </w:p>
    <w:p w14:paraId="028D7124" w14:textId="77777777" w:rsidR="00555065" w:rsidRPr="00ED4C3E" w:rsidRDefault="00000000" w:rsidP="005D415A">
      <w:pPr>
        <w:pStyle w:val="Vnbnnidung0"/>
        <w:spacing w:before="120"/>
        <w:ind w:firstLine="0"/>
        <w:jc w:val="center"/>
        <w:rPr>
          <w:highlight w:val="white"/>
        </w:rPr>
      </w:pPr>
      <w:r w:rsidRPr="00ED4C3E">
        <w:rPr>
          <w:b/>
          <w:bCs/>
          <w:i w:val="0"/>
          <w:iCs w:val="0"/>
          <w:highlight w:val="white"/>
        </w:rPr>
        <w:t>QUYẾT NGHỊ:</w:t>
      </w:r>
    </w:p>
    <w:p w14:paraId="073A3212" w14:textId="6710D1CA" w:rsidR="00555065" w:rsidRPr="00EF32AC" w:rsidRDefault="00000000" w:rsidP="005D415A">
      <w:pPr>
        <w:pStyle w:val="Vnbnnidung0"/>
        <w:spacing w:before="120"/>
        <w:ind w:firstLine="740"/>
        <w:jc w:val="both"/>
        <w:rPr>
          <w:color w:val="auto"/>
          <w:highlight w:val="white"/>
        </w:rPr>
      </w:pPr>
      <w:r w:rsidRPr="00EF32AC">
        <w:rPr>
          <w:b/>
          <w:bCs/>
          <w:i w:val="0"/>
          <w:iCs w:val="0"/>
          <w:color w:val="auto"/>
          <w:highlight w:val="white"/>
        </w:rPr>
        <w:t>Điều 1</w:t>
      </w:r>
      <w:r w:rsidRPr="00EF32AC">
        <w:rPr>
          <w:i w:val="0"/>
          <w:iCs w:val="0"/>
          <w:color w:val="auto"/>
          <w:highlight w:val="white"/>
        </w:rPr>
        <w:t>. Phê duyệt kinh phí hoạt động của Hội đồng nhân dân huyện năm 202</w:t>
      </w:r>
      <w:r w:rsidR="004F4E08" w:rsidRPr="00EF32AC">
        <w:rPr>
          <w:i w:val="0"/>
          <w:iCs w:val="0"/>
          <w:color w:val="auto"/>
          <w:highlight w:val="white"/>
        </w:rPr>
        <w:t>5</w:t>
      </w:r>
      <w:r w:rsidR="00AC3589" w:rsidRPr="00EF32AC">
        <w:rPr>
          <w:i w:val="0"/>
          <w:iCs w:val="0"/>
          <w:color w:val="auto"/>
          <w:highlight w:val="white"/>
        </w:rPr>
        <w:t>,</w:t>
      </w:r>
      <w:r w:rsidRPr="00EF32AC">
        <w:rPr>
          <w:i w:val="0"/>
          <w:iCs w:val="0"/>
          <w:color w:val="auto"/>
          <w:highlight w:val="white"/>
        </w:rPr>
        <w:t xml:space="preserve"> số tiền </w:t>
      </w:r>
      <w:r w:rsidR="00141689" w:rsidRPr="00EF32AC">
        <w:rPr>
          <w:b/>
          <w:bCs/>
          <w:i w:val="0"/>
          <w:iCs w:val="0"/>
          <w:color w:val="auto"/>
          <w:highlight w:val="white"/>
        </w:rPr>
        <w:t xml:space="preserve">2.587.066.000 đồng </w:t>
      </w:r>
      <w:r w:rsidR="00141689" w:rsidRPr="00EF32AC">
        <w:rPr>
          <w:color w:val="auto"/>
          <w:highlight w:val="white"/>
        </w:rPr>
        <w:t>(Hai tỷ năm trăm tám mươi bảy triệu không trăm sáu mươi sáu nghìn đồng chẵn)</w:t>
      </w:r>
      <w:r w:rsidRPr="00EF32AC">
        <w:rPr>
          <w:color w:val="auto"/>
          <w:highlight w:val="white"/>
        </w:rPr>
        <w:t>.</w:t>
      </w:r>
    </w:p>
    <w:p w14:paraId="5E9F94A9" w14:textId="77777777" w:rsidR="00555065" w:rsidRPr="00ED4C3E" w:rsidRDefault="00000000" w:rsidP="005D415A">
      <w:pPr>
        <w:pStyle w:val="Vnbnnidung0"/>
        <w:spacing w:before="120"/>
        <w:ind w:firstLine="740"/>
        <w:jc w:val="both"/>
        <w:rPr>
          <w:highlight w:val="white"/>
        </w:rPr>
      </w:pPr>
      <w:r w:rsidRPr="00ED4C3E">
        <w:rPr>
          <w:b/>
          <w:bCs/>
          <w:i w:val="0"/>
          <w:iCs w:val="0"/>
          <w:highlight w:val="white"/>
        </w:rPr>
        <w:t>Điều 2</w:t>
      </w:r>
      <w:r w:rsidRPr="00ED4C3E">
        <w:rPr>
          <w:i w:val="0"/>
          <w:iCs w:val="0"/>
          <w:highlight w:val="white"/>
        </w:rPr>
        <w:t>. Trong quá trình thực hiện, giao Thường trực HĐND huyện phối hợp với UBND huyện căn cứ vào tình hình và nhiệm vụ chi để điều chỉnh, bổ sung dự toán cho phù hợp, đảm bảo kinh phí cho các hoạt động của HĐND huyện năm 2024 theo quy định.</w:t>
      </w:r>
    </w:p>
    <w:p w14:paraId="2B170A1A" w14:textId="6B2DE3A6" w:rsidR="00555065" w:rsidRPr="00ED4C3E" w:rsidRDefault="00000000" w:rsidP="005D415A">
      <w:pPr>
        <w:pStyle w:val="Vnbnnidung0"/>
        <w:spacing w:before="120"/>
        <w:ind w:firstLine="740"/>
        <w:jc w:val="both"/>
        <w:rPr>
          <w:highlight w:val="white"/>
        </w:rPr>
      </w:pPr>
      <w:r w:rsidRPr="00ED4C3E">
        <w:rPr>
          <w:b/>
          <w:bCs/>
          <w:i w:val="0"/>
          <w:iCs w:val="0"/>
          <w:highlight w:val="white"/>
        </w:rPr>
        <w:lastRenderedPageBreak/>
        <w:t>Điều 3</w:t>
      </w:r>
      <w:r w:rsidRPr="00ED4C3E">
        <w:rPr>
          <w:i w:val="0"/>
          <w:iCs w:val="0"/>
          <w:highlight w:val="white"/>
        </w:rPr>
        <w:t>. Giao Thường trực HĐND huyện chỉ đạo, điều hành, tổ chức thực hiện thanh toán, quyết toán kinh phí đúng chế độ, chính sách và tiết kiệm để thực hiện nhiệm vụ của HĐND huyện năm 202</w:t>
      </w:r>
      <w:r w:rsidR="0074291A" w:rsidRPr="00ED4C3E">
        <w:rPr>
          <w:i w:val="0"/>
          <w:iCs w:val="0"/>
          <w:highlight w:val="white"/>
        </w:rPr>
        <w:t>5</w:t>
      </w:r>
      <w:r w:rsidRPr="00ED4C3E">
        <w:rPr>
          <w:i w:val="0"/>
          <w:iCs w:val="0"/>
          <w:highlight w:val="white"/>
        </w:rPr>
        <w:t>.</w:t>
      </w:r>
    </w:p>
    <w:p w14:paraId="2DEB5586" w14:textId="5D631751" w:rsidR="00555065" w:rsidRPr="00ED4C3E" w:rsidRDefault="00000000" w:rsidP="005D415A">
      <w:pPr>
        <w:pStyle w:val="Vnbnnidung0"/>
        <w:spacing w:before="120"/>
        <w:ind w:firstLine="740"/>
        <w:jc w:val="both"/>
        <w:rPr>
          <w:highlight w:val="white"/>
        </w:rPr>
      </w:pPr>
      <w:r w:rsidRPr="00ED4C3E">
        <w:rPr>
          <w:i w:val="0"/>
          <w:iCs w:val="0"/>
          <w:highlight w:val="white"/>
        </w:rPr>
        <w:t xml:space="preserve">Nghị quyết này có </w:t>
      </w:r>
      <w:r w:rsidR="00ED4C3E" w:rsidRPr="00ED4C3E">
        <w:rPr>
          <w:i w:val="0"/>
          <w:iCs w:val="0"/>
          <w:highlight w:val="white"/>
          <w:u w:color="FF0000"/>
        </w:rPr>
        <w:t>h</w:t>
      </w:r>
      <w:r w:rsidRPr="00ED4C3E">
        <w:rPr>
          <w:i w:val="0"/>
          <w:iCs w:val="0"/>
          <w:highlight w:val="white"/>
          <w:u w:color="FF0000"/>
        </w:rPr>
        <w:t>iệu lực</w:t>
      </w:r>
      <w:r w:rsidRPr="00ED4C3E">
        <w:rPr>
          <w:i w:val="0"/>
          <w:iCs w:val="0"/>
          <w:highlight w:val="white"/>
        </w:rPr>
        <w:t xml:space="preserve"> thi hành kể từ ngày Hội đồng nhân dân huyện thông qua.</w:t>
      </w:r>
    </w:p>
    <w:p w14:paraId="383CB37F" w14:textId="7196139C" w:rsidR="00555065" w:rsidRPr="00ED4C3E" w:rsidRDefault="00000000" w:rsidP="005D415A">
      <w:pPr>
        <w:pStyle w:val="Vnbnnidung0"/>
        <w:spacing w:before="120"/>
        <w:ind w:firstLine="740"/>
        <w:jc w:val="both"/>
        <w:rPr>
          <w:highlight w:val="white"/>
        </w:rPr>
      </w:pPr>
      <w:r w:rsidRPr="00ED4C3E">
        <w:rPr>
          <w:highlight w:val="white"/>
        </w:rPr>
        <w:t xml:space="preserve">Nghị quyết này đã được Hội đồng nhân dân huyện Tuân Giáo khoá XXI, kỳ họp thứ </w:t>
      </w:r>
      <w:r w:rsidR="0074291A" w:rsidRPr="00ED4C3E">
        <w:rPr>
          <w:highlight w:val="white"/>
        </w:rPr>
        <w:t>Mười hai</w:t>
      </w:r>
      <w:r w:rsidRPr="00ED4C3E">
        <w:rPr>
          <w:highlight w:val="white"/>
        </w:rPr>
        <w:t xml:space="preserve"> thông qua ngày 1</w:t>
      </w:r>
      <w:r w:rsidR="0074291A" w:rsidRPr="00ED4C3E">
        <w:rPr>
          <w:highlight w:val="white"/>
        </w:rPr>
        <w:t>8</w:t>
      </w:r>
      <w:r w:rsidRPr="00ED4C3E">
        <w:rPr>
          <w:highlight w:val="white"/>
        </w:rPr>
        <w:t xml:space="preserve"> tháng 12 năm 202</w:t>
      </w:r>
      <w:r w:rsidR="0074291A" w:rsidRPr="00ED4C3E">
        <w:rPr>
          <w:highlight w:val="white"/>
        </w:rPr>
        <w:t>4</w:t>
      </w:r>
      <w:r w:rsidRPr="00ED4C3E">
        <w:rPr>
          <w:highlight w:val="white"/>
        </w:rPr>
        <w:t>./.</w:t>
      </w:r>
    </w:p>
    <w:tbl>
      <w:tblPr>
        <w:tblW w:w="8715" w:type="dxa"/>
        <w:tblInd w:w="108" w:type="dxa"/>
        <w:tblLayout w:type="fixed"/>
        <w:tblLook w:val="0000" w:firstRow="0" w:lastRow="0" w:firstColumn="0" w:lastColumn="0" w:noHBand="0" w:noVBand="0"/>
      </w:tblPr>
      <w:tblGrid>
        <w:gridCol w:w="4287"/>
        <w:gridCol w:w="4428"/>
      </w:tblGrid>
      <w:tr w:rsidR="00951239" w:rsidRPr="00ED4C3E" w14:paraId="4C78878A" w14:textId="77777777" w:rsidTr="00165EAF">
        <w:trPr>
          <w:trHeight w:val="2762"/>
        </w:trPr>
        <w:tc>
          <w:tcPr>
            <w:tcW w:w="4287" w:type="dxa"/>
          </w:tcPr>
          <w:p w14:paraId="1D29F20A" w14:textId="77777777" w:rsidR="00951239" w:rsidRPr="00ED4C3E" w:rsidRDefault="00951239" w:rsidP="00165EAF">
            <w:pPr>
              <w:jc w:val="both"/>
              <w:rPr>
                <w:rFonts w:ascii="Times New Roman" w:hAnsi="Times New Roman" w:cs="Times New Roman"/>
                <w:highlight w:val="white"/>
                <w:lang w:val="am-ET"/>
              </w:rPr>
            </w:pPr>
            <w:r w:rsidRPr="00ED4C3E">
              <w:rPr>
                <w:rFonts w:ascii="Times New Roman" w:hAnsi="Times New Roman" w:cs="Times New Roman"/>
                <w:b/>
                <w:i/>
                <w:highlight w:val="white"/>
                <w:u w:color="FF0000"/>
                <w:lang w:val="am-ET"/>
              </w:rPr>
              <w:t>Nơi nhận</w:t>
            </w:r>
            <w:r w:rsidRPr="00ED4C3E">
              <w:rPr>
                <w:rFonts w:ascii="Times New Roman" w:hAnsi="Times New Roman" w:cs="Times New Roman"/>
                <w:b/>
                <w:i/>
                <w:highlight w:val="white"/>
                <w:lang w:val="am-ET"/>
              </w:rPr>
              <w:t>:</w:t>
            </w:r>
            <w:r w:rsidRPr="00ED4C3E">
              <w:rPr>
                <w:rFonts w:ascii="Times New Roman" w:hAnsi="Times New Roman" w:cs="Times New Roman"/>
                <w:highlight w:val="white"/>
                <w:lang w:val="am-ET"/>
              </w:rPr>
              <w:tab/>
            </w:r>
            <w:r w:rsidRPr="00ED4C3E">
              <w:rPr>
                <w:rFonts w:ascii="Times New Roman" w:hAnsi="Times New Roman" w:cs="Times New Roman"/>
                <w:highlight w:val="white"/>
                <w:lang w:val="am-ET"/>
              </w:rPr>
              <w:tab/>
            </w:r>
            <w:r w:rsidRPr="00ED4C3E">
              <w:rPr>
                <w:rFonts w:ascii="Times New Roman" w:hAnsi="Times New Roman" w:cs="Times New Roman"/>
                <w:highlight w:val="white"/>
                <w:lang w:val="am-ET"/>
              </w:rPr>
              <w:tab/>
            </w:r>
          </w:p>
          <w:p w14:paraId="1DDE53E5" w14:textId="6CA1EFC6" w:rsidR="00951239" w:rsidRPr="00ED4C3E" w:rsidRDefault="00951239" w:rsidP="00165EAF">
            <w:pPr>
              <w:jc w:val="both"/>
              <w:rPr>
                <w:rFonts w:ascii="Times New Roman" w:hAnsi="Times New Roman" w:cs="Times New Roman"/>
                <w:sz w:val="22"/>
                <w:szCs w:val="22"/>
                <w:highlight w:val="white"/>
                <w:lang w:val="am-ET"/>
              </w:rPr>
            </w:pPr>
            <w:r w:rsidRPr="00ED4C3E">
              <w:rPr>
                <w:rFonts w:ascii="Times New Roman" w:hAnsi="Times New Roman" w:cs="Times New Roman"/>
                <w:sz w:val="22"/>
                <w:szCs w:val="22"/>
                <w:highlight w:val="white"/>
                <w:lang w:val="am-ET"/>
              </w:rPr>
              <w:t>- TT HĐND tỉnh,</w:t>
            </w:r>
            <w:r w:rsidRPr="00ED4C3E">
              <w:rPr>
                <w:rFonts w:ascii="Times New Roman" w:hAnsi="Times New Roman" w:cs="Times New Roman"/>
                <w:sz w:val="22"/>
                <w:szCs w:val="22"/>
                <w:highlight w:val="white"/>
              </w:rPr>
              <w:t xml:space="preserve"> </w:t>
            </w:r>
            <w:r w:rsidRPr="00ED4C3E">
              <w:rPr>
                <w:rFonts w:ascii="Times New Roman" w:hAnsi="Times New Roman" w:cs="Times New Roman"/>
                <w:sz w:val="22"/>
                <w:szCs w:val="22"/>
                <w:highlight w:val="white"/>
                <w:lang w:val="am-ET"/>
              </w:rPr>
              <w:t>UBND tỉnh (</w:t>
            </w:r>
            <w:r w:rsidRPr="00ED4C3E">
              <w:rPr>
                <w:rFonts w:ascii="Times New Roman" w:hAnsi="Times New Roman" w:cs="Times New Roman"/>
                <w:sz w:val="22"/>
                <w:szCs w:val="22"/>
                <w:highlight w:val="white"/>
                <w:u w:color="FF0000"/>
                <w:lang w:val="am-ET"/>
              </w:rPr>
              <w:t>B/c</w:t>
            </w:r>
            <w:r w:rsidRPr="00ED4C3E">
              <w:rPr>
                <w:rFonts w:ascii="Times New Roman" w:hAnsi="Times New Roman" w:cs="Times New Roman"/>
                <w:sz w:val="22"/>
                <w:szCs w:val="22"/>
                <w:highlight w:val="white"/>
                <w:lang w:val="am-ET"/>
              </w:rPr>
              <w:t>);</w:t>
            </w:r>
          </w:p>
          <w:p w14:paraId="75453E8C" w14:textId="39346DBE" w:rsidR="00951239" w:rsidRPr="00ED4C3E" w:rsidRDefault="00951239" w:rsidP="00165EAF">
            <w:pPr>
              <w:jc w:val="both"/>
              <w:rPr>
                <w:rFonts w:ascii="Times New Roman" w:hAnsi="Times New Roman" w:cs="Times New Roman"/>
                <w:sz w:val="22"/>
                <w:szCs w:val="22"/>
                <w:highlight w:val="white"/>
                <w:lang w:val="am-ET"/>
              </w:rPr>
            </w:pPr>
            <w:r w:rsidRPr="00ED4C3E">
              <w:rPr>
                <w:rFonts w:ascii="Times New Roman" w:hAnsi="Times New Roman" w:cs="Times New Roman"/>
                <w:sz w:val="22"/>
                <w:szCs w:val="22"/>
                <w:highlight w:val="white"/>
                <w:lang w:val="am-ET"/>
              </w:rPr>
              <w:t>- TT Huyện ủy</w:t>
            </w:r>
            <w:r w:rsidR="009E655F" w:rsidRPr="00ED4C3E">
              <w:rPr>
                <w:rFonts w:ascii="Times New Roman" w:hAnsi="Times New Roman" w:cs="Times New Roman"/>
                <w:sz w:val="22"/>
                <w:szCs w:val="22"/>
                <w:highlight w:val="white"/>
                <w:lang w:val="am-ET"/>
              </w:rPr>
              <w:t xml:space="preserve"> (B/c)</w:t>
            </w:r>
            <w:r w:rsidRPr="00ED4C3E">
              <w:rPr>
                <w:rFonts w:ascii="Times New Roman" w:hAnsi="Times New Roman" w:cs="Times New Roman"/>
                <w:sz w:val="22"/>
                <w:szCs w:val="22"/>
                <w:highlight w:val="white"/>
                <w:lang w:val="am-ET"/>
              </w:rPr>
              <w:t>;</w:t>
            </w:r>
          </w:p>
          <w:p w14:paraId="33108EAF" w14:textId="77777777" w:rsidR="009E655F" w:rsidRPr="00ED4C3E" w:rsidRDefault="009E655F" w:rsidP="009E655F">
            <w:pPr>
              <w:jc w:val="both"/>
              <w:rPr>
                <w:rFonts w:ascii="Times New Roman" w:hAnsi="Times New Roman" w:cs="Times New Roman"/>
                <w:sz w:val="22"/>
                <w:szCs w:val="22"/>
                <w:highlight w:val="white"/>
                <w:lang w:val="am-ET"/>
              </w:rPr>
            </w:pPr>
            <w:r w:rsidRPr="00ED4C3E">
              <w:rPr>
                <w:rFonts w:ascii="Times New Roman" w:hAnsi="Times New Roman" w:cs="Times New Roman"/>
                <w:sz w:val="22"/>
                <w:szCs w:val="22"/>
                <w:highlight w:val="white"/>
                <w:lang w:val="am-ET"/>
              </w:rPr>
              <w:t>- TT HĐND, Lãnh đạo UBND huyện;</w:t>
            </w:r>
          </w:p>
          <w:p w14:paraId="1D3EAB70" w14:textId="77777777" w:rsidR="009E655F" w:rsidRPr="00ED4C3E" w:rsidRDefault="009E655F" w:rsidP="009E655F">
            <w:pPr>
              <w:jc w:val="both"/>
              <w:rPr>
                <w:rFonts w:ascii="Times New Roman" w:hAnsi="Times New Roman" w:cs="Times New Roman"/>
                <w:sz w:val="22"/>
                <w:szCs w:val="22"/>
                <w:highlight w:val="white"/>
                <w:lang w:val="am-ET"/>
              </w:rPr>
            </w:pPr>
            <w:r w:rsidRPr="00ED4C3E">
              <w:rPr>
                <w:rFonts w:ascii="Times New Roman" w:hAnsi="Times New Roman" w:cs="Times New Roman"/>
                <w:sz w:val="22"/>
                <w:szCs w:val="22"/>
                <w:highlight w:val="white"/>
                <w:lang w:val="am-ET"/>
              </w:rPr>
              <w:t>- UBMTTQ VN huyện;</w:t>
            </w:r>
          </w:p>
          <w:p w14:paraId="0843B5B1" w14:textId="77777777" w:rsidR="009E655F" w:rsidRPr="00ED4C3E" w:rsidRDefault="009E655F" w:rsidP="009E655F">
            <w:pPr>
              <w:jc w:val="both"/>
              <w:rPr>
                <w:rFonts w:ascii="Times New Roman" w:hAnsi="Times New Roman" w:cs="Times New Roman"/>
                <w:sz w:val="22"/>
                <w:szCs w:val="22"/>
                <w:highlight w:val="white"/>
                <w:lang w:val="am-ET"/>
              </w:rPr>
            </w:pPr>
            <w:r w:rsidRPr="00ED4C3E">
              <w:rPr>
                <w:rFonts w:ascii="Times New Roman" w:hAnsi="Times New Roman" w:cs="Times New Roman"/>
                <w:sz w:val="22"/>
                <w:szCs w:val="22"/>
                <w:highlight w:val="white"/>
                <w:lang w:val="am-ET"/>
              </w:rPr>
              <w:t>- Đại biểu HĐND huyện khóa XXI;</w:t>
            </w:r>
          </w:p>
          <w:p w14:paraId="289DFE26" w14:textId="77777777" w:rsidR="009E655F" w:rsidRPr="00ED4C3E" w:rsidRDefault="009E655F" w:rsidP="009E655F">
            <w:pPr>
              <w:jc w:val="both"/>
              <w:rPr>
                <w:rFonts w:ascii="Times New Roman" w:hAnsi="Times New Roman" w:cs="Times New Roman"/>
                <w:sz w:val="22"/>
                <w:szCs w:val="22"/>
                <w:highlight w:val="white"/>
                <w:lang w:val="am-ET"/>
              </w:rPr>
            </w:pPr>
            <w:r w:rsidRPr="00ED4C3E">
              <w:rPr>
                <w:rFonts w:ascii="Times New Roman" w:hAnsi="Times New Roman" w:cs="Times New Roman"/>
                <w:sz w:val="22"/>
                <w:szCs w:val="22"/>
                <w:highlight w:val="white"/>
                <w:lang w:val="am-ET"/>
              </w:rPr>
              <w:t>- Các phòng, ban, ngành, đoàn thể huyện;</w:t>
            </w:r>
          </w:p>
          <w:p w14:paraId="502BD025" w14:textId="0CBD31EF" w:rsidR="009E655F" w:rsidRPr="00ED4C3E" w:rsidRDefault="009E655F" w:rsidP="009E655F">
            <w:pPr>
              <w:jc w:val="both"/>
              <w:rPr>
                <w:rFonts w:ascii="Times New Roman" w:hAnsi="Times New Roman" w:cs="Times New Roman"/>
                <w:sz w:val="22"/>
                <w:szCs w:val="22"/>
                <w:highlight w:val="white"/>
                <w:lang w:val="am-ET"/>
              </w:rPr>
            </w:pPr>
            <w:r w:rsidRPr="00ED4C3E">
              <w:rPr>
                <w:rFonts w:ascii="Times New Roman" w:hAnsi="Times New Roman" w:cs="Times New Roman"/>
                <w:sz w:val="22"/>
                <w:szCs w:val="22"/>
                <w:highlight w:val="white"/>
                <w:lang w:val="am-ET"/>
              </w:rPr>
              <w:t>- TT HĐND các xã, thị trấn;</w:t>
            </w:r>
          </w:p>
          <w:p w14:paraId="3BDCFB33" w14:textId="77777777" w:rsidR="009E655F" w:rsidRPr="00ED4C3E" w:rsidRDefault="009E655F" w:rsidP="009E655F">
            <w:pPr>
              <w:jc w:val="both"/>
              <w:rPr>
                <w:rFonts w:ascii="Times New Roman" w:hAnsi="Times New Roman" w:cs="Times New Roman"/>
                <w:sz w:val="22"/>
                <w:szCs w:val="22"/>
                <w:highlight w:val="white"/>
                <w:lang w:val="am-ET"/>
              </w:rPr>
            </w:pPr>
            <w:r w:rsidRPr="00ED4C3E">
              <w:rPr>
                <w:rFonts w:ascii="Times New Roman" w:hAnsi="Times New Roman" w:cs="Times New Roman"/>
                <w:sz w:val="22"/>
                <w:szCs w:val="22"/>
                <w:highlight w:val="white"/>
                <w:lang w:val="am-ET"/>
              </w:rPr>
              <w:t>- VP HĐND&amp;UBND huyện;</w:t>
            </w:r>
          </w:p>
          <w:p w14:paraId="68227704" w14:textId="279DB29D" w:rsidR="00951239" w:rsidRPr="00ED4C3E" w:rsidRDefault="009E655F" w:rsidP="009E655F">
            <w:pPr>
              <w:spacing w:line="228" w:lineRule="auto"/>
              <w:rPr>
                <w:rFonts w:ascii="Times New Roman" w:hAnsi="Times New Roman" w:cs="Times New Roman"/>
                <w:b/>
                <w:bCs/>
                <w:i/>
                <w:iCs/>
                <w:highlight w:val="white"/>
                <w:lang w:val="am-ET"/>
              </w:rPr>
            </w:pPr>
            <w:r w:rsidRPr="00ED4C3E">
              <w:rPr>
                <w:rFonts w:ascii="Times New Roman" w:hAnsi="Times New Roman" w:cs="Times New Roman"/>
                <w:sz w:val="22"/>
                <w:szCs w:val="22"/>
                <w:highlight w:val="white"/>
                <w:lang w:val="am-ET"/>
              </w:rPr>
              <w:t>- Lưu: VT</w:t>
            </w:r>
          </w:p>
        </w:tc>
        <w:tc>
          <w:tcPr>
            <w:tcW w:w="4428" w:type="dxa"/>
          </w:tcPr>
          <w:p w14:paraId="0D3CBCFB" w14:textId="77777777" w:rsidR="00951239" w:rsidRPr="00ED4C3E" w:rsidRDefault="00951239" w:rsidP="00165EAF">
            <w:pPr>
              <w:rPr>
                <w:rFonts w:ascii="Times New Roman" w:hAnsi="Times New Roman" w:cs="Times New Roman"/>
                <w:b/>
                <w:bCs/>
                <w:sz w:val="28"/>
                <w:szCs w:val="28"/>
                <w:highlight w:val="white"/>
                <w:lang w:val="am-ET"/>
              </w:rPr>
            </w:pPr>
            <w:r w:rsidRPr="00ED4C3E">
              <w:rPr>
                <w:rFonts w:ascii="Times New Roman" w:hAnsi="Times New Roman" w:cs="Times New Roman"/>
                <w:sz w:val="28"/>
                <w:szCs w:val="28"/>
                <w:highlight w:val="white"/>
                <w:lang w:val="am-ET"/>
              </w:rPr>
              <w:t xml:space="preserve">                         </w:t>
            </w:r>
            <w:r w:rsidRPr="00ED4C3E">
              <w:rPr>
                <w:rFonts w:ascii="Times New Roman" w:hAnsi="Times New Roman" w:cs="Times New Roman"/>
                <w:b/>
                <w:bCs/>
                <w:sz w:val="28"/>
                <w:szCs w:val="28"/>
                <w:highlight w:val="white"/>
                <w:lang w:val="am-ET"/>
              </w:rPr>
              <w:t>CHỦ TỊCH</w:t>
            </w:r>
          </w:p>
          <w:p w14:paraId="6E2AAB91" w14:textId="77777777" w:rsidR="00951239" w:rsidRPr="00ED4C3E" w:rsidRDefault="00951239" w:rsidP="00165EAF">
            <w:pPr>
              <w:spacing w:line="228" w:lineRule="auto"/>
              <w:rPr>
                <w:rFonts w:ascii="Times New Roman" w:hAnsi="Times New Roman" w:cs="Times New Roman"/>
                <w:sz w:val="28"/>
                <w:szCs w:val="28"/>
                <w:highlight w:val="white"/>
                <w:lang w:val="am-ET"/>
              </w:rPr>
            </w:pPr>
          </w:p>
          <w:p w14:paraId="7604D754" w14:textId="77777777" w:rsidR="00951239" w:rsidRPr="00ED4C3E" w:rsidRDefault="00951239" w:rsidP="00165EAF">
            <w:pPr>
              <w:spacing w:line="228" w:lineRule="auto"/>
              <w:rPr>
                <w:rFonts w:ascii="Times New Roman" w:hAnsi="Times New Roman" w:cs="Times New Roman"/>
                <w:sz w:val="28"/>
                <w:szCs w:val="28"/>
                <w:highlight w:val="white"/>
                <w:lang w:val="am-ET"/>
              </w:rPr>
            </w:pPr>
          </w:p>
          <w:p w14:paraId="32C5A2E2" w14:textId="77777777" w:rsidR="00951239" w:rsidRPr="00ED4C3E" w:rsidRDefault="00951239" w:rsidP="00165EAF">
            <w:pPr>
              <w:spacing w:line="228" w:lineRule="auto"/>
              <w:rPr>
                <w:rFonts w:ascii="Times New Roman" w:hAnsi="Times New Roman" w:cs="Times New Roman"/>
                <w:sz w:val="28"/>
                <w:szCs w:val="28"/>
                <w:highlight w:val="white"/>
                <w:lang w:val="am-ET"/>
              </w:rPr>
            </w:pPr>
          </w:p>
          <w:p w14:paraId="63068B32" w14:textId="77777777" w:rsidR="00951239" w:rsidRPr="00ED4C3E" w:rsidRDefault="00951239" w:rsidP="00165EAF">
            <w:pPr>
              <w:spacing w:line="228" w:lineRule="auto"/>
              <w:rPr>
                <w:rFonts w:ascii="Times New Roman" w:hAnsi="Times New Roman" w:cs="Times New Roman"/>
                <w:sz w:val="28"/>
                <w:szCs w:val="28"/>
                <w:highlight w:val="white"/>
                <w:lang w:val="am-ET"/>
              </w:rPr>
            </w:pPr>
          </w:p>
          <w:p w14:paraId="0D16E7DE" w14:textId="77777777" w:rsidR="00951239" w:rsidRPr="00ED4C3E" w:rsidRDefault="00951239" w:rsidP="00165EAF">
            <w:pPr>
              <w:spacing w:line="228" w:lineRule="auto"/>
              <w:rPr>
                <w:rFonts w:ascii="Times New Roman" w:hAnsi="Times New Roman" w:cs="Times New Roman"/>
                <w:sz w:val="28"/>
                <w:szCs w:val="28"/>
                <w:highlight w:val="white"/>
                <w:lang w:val="am-ET"/>
              </w:rPr>
            </w:pPr>
          </w:p>
          <w:p w14:paraId="42C9D5F0" w14:textId="77777777" w:rsidR="00951239" w:rsidRPr="00ED4C3E" w:rsidRDefault="00951239" w:rsidP="00165EAF">
            <w:pPr>
              <w:spacing w:line="228" w:lineRule="auto"/>
              <w:rPr>
                <w:rFonts w:ascii="Times New Roman" w:hAnsi="Times New Roman" w:cs="Times New Roman"/>
                <w:sz w:val="28"/>
                <w:szCs w:val="28"/>
                <w:highlight w:val="white"/>
                <w:lang w:val="am-ET"/>
              </w:rPr>
            </w:pPr>
          </w:p>
          <w:p w14:paraId="54212B0F" w14:textId="77777777" w:rsidR="00951239" w:rsidRPr="00ED4C3E" w:rsidRDefault="00951239" w:rsidP="00165EAF">
            <w:pPr>
              <w:spacing w:line="228" w:lineRule="auto"/>
              <w:rPr>
                <w:rFonts w:ascii="Times New Roman" w:hAnsi="Times New Roman" w:cs="Times New Roman"/>
                <w:sz w:val="28"/>
                <w:szCs w:val="28"/>
                <w:highlight w:val="white"/>
                <w:lang w:val="am-ET"/>
              </w:rPr>
            </w:pPr>
          </w:p>
          <w:p w14:paraId="177DB43F" w14:textId="23E2E085" w:rsidR="00951239" w:rsidRPr="00ED4C3E" w:rsidRDefault="00951239" w:rsidP="00165EAF">
            <w:pPr>
              <w:spacing w:line="228" w:lineRule="auto"/>
              <w:rPr>
                <w:rFonts w:ascii="Times New Roman" w:hAnsi="Times New Roman" w:cs="Times New Roman"/>
                <w:b/>
                <w:bCs/>
                <w:sz w:val="28"/>
                <w:szCs w:val="28"/>
                <w:highlight w:val="white"/>
                <w:lang w:val="am-ET"/>
              </w:rPr>
            </w:pPr>
            <w:r w:rsidRPr="00ED4C3E">
              <w:rPr>
                <w:rFonts w:ascii="Times New Roman" w:hAnsi="Times New Roman" w:cs="Times New Roman"/>
                <w:sz w:val="28"/>
                <w:szCs w:val="28"/>
                <w:highlight w:val="white"/>
                <w:lang w:val="am-ET"/>
              </w:rPr>
              <w:t xml:space="preserve">                       </w:t>
            </w:r>
            <w:r w:rsidR="0074291A" w:rsidRPr="00ED4C3E">
              <w:rPr>
                <w:rFonts w:ascii="Times New Roman" w:hAnsi="Times New Roman" w:cs="Times New Roman"/>
                <w:b/>
                <w:bCs/>
                <w:sz w:val="28"/>
                <w:szCs w:val="28"/>
                <w:highlight w:val="white"/>
                <w:lang w:val="am-ET"/>
              </w:rPr>
              <w:t>Giàng A Dế</w:t>
            </w:r>
          </w:p>
        </w:tc>
      </w:tr>
    </w:tbl>
    <w:p w14:paraId="2B839F18" w14:textId="409131A2" w:rsidR="00555065" w:rsidRPr="00ED4C3E" w:rsidRDefault="00555065" w:rsidP="00951239">
      <w:pPr>
        <w:pStyle w:val="Vnbnnidung0"/>
        <w:tabs>
          <w:tab w:val="left" w:pos="5849"/>
        </w:tabs>
        <w:spacing w:after="40"/>
        <w:ind w:firstLine="0"/>
        <w:rPr>
          <w:highlight w:val="white"/>
          <w:lang w:val="am-ET"/>
        </w:rPr>
      </w:pPr>
    </w:p>
    <w:sectPr w:rsidR="00555065" w:rsidRPr="00ED4C3E" w:rsidSect="005C2B26">
      <w:pgSz w:w="11900" w:h="16840" w:code="9"/>
      <w:pgMar w:top="1134" w:right="1134" w:bottom="1134" w:left="1701" w:header="346"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2D5E9" w14:textId="77777777" w:rsidR="00CC66B5" w:rsidRDefault="00CC66B5">
      <w:r>
        <w:separator/>
      </w:r>
    </w:p>
  </w:endnote>
  <w:endnote w:type="continuationSeparator" w:id="0">
    <w:p w14:paraId="1676D4AD" w14:textId="77777777" w:rsidR="00CC66B5" w:rsidRDefault="00CC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8EBA6" w14:textId="77777777" w:rsidR="00CC66B5" w:rsidRDefault="00CC66B5"/>
  </w:footnote>
  <w:footnote w:type="continuationSeparator" w:id="0">
    <w:p w14:paraId="49283801" w14:textId="77777777" w:rsidR="00CC66B5" w:rsidRDefault="00CC66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C4586"/>
    <w:multiLevelType w:val="multilevel"/>
    <w:tmpl w:val="EF702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980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065"/>
    <w:rsid w:val="000140B8"/>
    <w:rsid w:val="00141689"/>
    <w:rsid w:val="002268B4"/>
    <w:rsid w:val="002E50BF"/>
    <w:rsid w:val="00471AE7"/>
    <w:rsid w:val="004F4E08"/>
    <w:rsid w:val="00555065"/>
    <w:rsid w:val="005C2B26"/>
    <w:rsid w:val="005D415A"/>
    <w:rsid w:val="00627212"/>
    <w:rsid w:val="00731389"/>
    <w:rsid w:val="0074291A"/>
    <w:rsid w:val="007700FC"/>
    <w:rsid w:val="00847EEF"/>
    <w:rsid w:val="00951239"/>
    <w:rsid w:val="009C54E9"/>
    <w:rsid w:val="009E655F"/>
    <w:rsid w:val="009F39FF"/>
    <w:rsid w:val="00AC3589"/>
    <w:rsid w:val="00AD54BA"/>
    <w:rsid w:val="00B367B2"/>
    <w:rsid w:val="00CC66B5"/>
    <w:rsid w:val="00D82F23"/>
    <w:rsid w:val="00E03AF2"/>
    <w:rsid w:val="00E82202"/>
    <w:rsid w:val="00ED4C3E"/>
    <w:rsid w:val="00EF32AC"/>
    <w:rsid w:val="00FF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529D"/>
  <w15:docId w15:val="{76C852E4-E01E-41F4-B4AD-54477408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basedOn w:val="DefaultParagraphFont"/>
    <w:link w:val="Tiu10"/>
    <w:rPr>
      <w:rFonts w:ascii="Times New Roman" w:eastAsia="Times New Roman" w:hAnsi="Times New Roman" w:cs="Times New Roman"/>
      <w:b/>
      <w:bCs/>
      <w:i w:val="0"/>
      <w:iCs w:val="0"/>
      <w:smallCaps/>
      <w:strike w:val="0"/>
      <w:sz w:val="32"/>
      <w:szCs w:val="3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Tiu10">
    <w:name w:val="Tiêu đề #1"/>
    <w:basedOn w:val="Normal"/>
    <w:link w:val="Tiu1"/>
    <w:pPr>
      <w:outlineLvl w:val="0"/>
    </w:pPr>
    <w:rPr>
      <w:rFonts w:ascii="Times New Roman" w:eastAsia="Times New Roman" w:hAnsi="Times New Roman" w:cs="Times New Roman"/>
      <w:b/>
      <w:bCs/>
      <w:smallCaps/>
      <w:sz w:val="32"/>
      <w:szCs w:val="32"/>
    </w:rPr>
  </w:style>
  <w:style w:type="paragraph" w:customStyle="1" w:styleId="Vnbnnidung0">
    <w:name w:val="Văn bản nội dung"/>
    <w:basedOn w:val="Normal"/>
    <w:link w:val="Vnbnnidung"/>
    <w:pPr>
      <w:spacing w:after="120"/>
      <w:ind w:firstLine="400"/>
    </w:pPr>
    <w:rPr>
      <w:rFonts w:ascii="Times New Roman" w:eastAsia="Times New Roman" w:hAnsi="Times New Roman" w:cs="Times New Roman"/>
      <w:i/>
      <w:iCs/>
      <w:sz w:val="28"/>
      <w:szCs w:val="28"/>
    </w:rPr>
  </w:style>
  <w:style w:type="paragraph" w:customStyle="1" w:styleId="Vnbnnidung30">
    <w:name w:val="Văn bản nội dung (3)"/>
    <w:basedOn w:val="Normal"/>
    <w:link w:val="Vnbnnidung3"/>
    <w:pPr>
      <w:ind w:right="680"/>
      <w:jc w:val="right"/>
    </w:pPr>
    <w:rPr>
      <w:rFonts w:ascii="Times New Roman" w:eastAsia="Times New Roman" w:hAnsi="Times New Roman" w:cs="Times New Roman"/>
      <w:sz w:val="16"/>
      <w:szCs w:val="16"/>
    </w:rPr>
  </w:style>
  <w:style w:type="paragraph" w:customStyle="1" w:styleId="Tiu20">
    <w:name w:val="Tiêu đề #2"/>
    <w:basedOn w:val="Normal"/>
    <w:link w:val="Tiu2"/>
    <w:pPr>
      <w:ind w:firstLine="280"/>
      <w:outlineLvl w:val="1"/>
    </w:pPr>
    <w:rPr>
      <w:rFonts w:ascii="Times New Roman" w:eastAsia="Times New Roman" w:hAnsi="Times New Roman" w:cs="Times New Roman"/>
      <w:sz w:val="30"/>
      <w:szCs w:val="30"/>
    </w:rPr>
  </w:style>
  <w:style w:type="paragraph" w:customStyle="1" w:styleId="Tiu30">
    <w:name w:val="Tiêu đề #3"/>
    <w:basedOn w:val="Normal"/>
    <w:link w:val="Tiu3"/>
    <w:pPr>
      <w:spacing w:after="120"/>
      <w:jc w:val="center"/>
      <w:outlineLvl w:val="2"/>
    </w:pPr>
    <w:rPr>
      <w:rFonts w:ascii="Times New Roman" w:eastAsia="Times New Roman" w:hAnsi="Times New Roman" w:cs="Times New Roman"/>
      <w:b/>
      <w:bCs/>
      <w:smallCaps/>
      <w:sz w:val="28"/>
      <w:szCs w:val="28"/>
    </w:rPr>
  </w:style>
  <w:style w:type="paragraph" w:customStyle="1" w:styleId="Vnbnnidung20">
    <w:name w:val="Văn bản nội dung (2)"/>
    <w:basedOn w:val="Normal"/>
    <w:link w:val="Vnbnnidung2"/>
    <w:pPr>
      <w:spacing w:after="4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dc:creator>
  <cp:keywords/>
  <cp:lastModifiedBy>tuannghia.thnt@gmail.com</cp:lastModifiedBy>
  <cp:revision>19</cp:revision>
  <dcterms:created xsi:type="dcterms:W3CDTF">2023-12-17T13:35:00Z</dcterms:created>
  <dcterms:modified xsi:type="dcterms:W3CDTF">2024-12-09T03:39:00Z</dcterms:modified>
</cp:coreProperties>
</file>